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76739" w14:textId="5DFCAD13" w:rsidR="00E1198C" w:rsidRPr="000934DB" w:rsidRDefault="00000000" w:rsidP="000934DB">
      <w:pPr>
        <w:spacing w:line="635" w:lineRule="exact"/>
        <w:ind w:right="101"/>
        <w:jc w:val="center"/>
        <w:rPr>
          <w:rFonts w:ascii="Arial" w:hAnsi="Arial"/>
          <w:b/>
          <w:sz w:val="56"/>
        </w:rPr>
      </w:pPr>
      <w:r>
        <w:rPr>
          <w:noProof/>
        </w:rPr>
        <w:drawing>
          <wp:anchor distT="0" distB="0" distL="0" distR="0" simplePos="0" relativeHeight="251651584" behindDoc="1" locked="0" layoutInCell="1" allowOverlap="1" wp14:anchorId="0B5C6AE6" wp14:editId="737D9F51">
            <wp:simplePos x="0" y="0"/>
            <wp:positionH relativeFrom="page">
              <wp:posOffset>0</wp:posOffset>
            </wp:positionH>
            <wp:positionV relativeFrom="page">
              <wp:posOffset>4429554</wp:posOffset>
            </wp:positionV>
            <wp:extent cx="7555991" cy="6262828"/>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7555991" cy="6262828"/>
                    </a:xfrm>
                    <a:prstGeom prst="rect">
                      <a:avLst/>
                    </a:prstGeom>
                  </pic:spPr>
                </pic:pic>
              </a:graphicData>
            </a:graphic>
          </wp:anchor>
        </w:drawing>
      </w:r>
      <w:r>
        <w:rPr>
          <w:rFonts w:ascii="Arial" w:hAnsi="Arial"/>
          <w:b/>
          <w:sz w:val="56"/>
        </w:rPr>
        <w:t xml:space="preserve">The Management Board </w:t>
      </w:r>
      <w:r w:rsidR="00EC3550">
        <w:rPr>
          <w:rFonts w:ascii="Arial" w:hAnsi="Arial"/>
          <w:b/>
          <w:sz w:val="56"/>
        </w:rPr>
        <w:t>R</w:t>
      </w:r>
      <w:r>
        <w:rPr>
          <w:rFonts w:ascii="Arial" w:hAnsi="Arial"/>
          <w:b/>
          <w:sz w:val="56"/>
        </w:rPr>
        <w:t>eport</w:t>
      </w:r>
      <w:r w:rsidR="00EC3550">
        <w:rPr>
          <w:rFonts w:ascii="Arial" w:hAnsi="Arial"/>
          <w:b/>
          <w:sz w:val="56"/>
        </w:rPr>
        <w:br/>
      </w:r>
      <w:r>
        <w:rPr>
          <w:rFonts w:ascii="Arial" w:hAnsi="Arial"/>
          <w:b/>
          <w:sz w:val="56"/>
        </w:rPr>
        <w:t>on operations of Celon Pharma S.A.</w:t>
      </w:r>
      <w:r w:rsidR="00EC3550">
        <w:rPr>
          <w:rFonts w:ascii="Arial" w:hAnsi="Arial"/>
          <w:b/>
          <w:sz w:val="56"/>
        </w:rPr>
        <w:br/>
      </w:r>
      <w:r>
        <w:rPr>
          <w:rFonts w:ascii="Arial" w:hAnsi="Arial"/>
          <w:b/>
          <w:sz w:val="56"/>
        </w:rPr>
        <w:t>for the year 2024</w:t>
      </w:r>
    </w:p>
    <w:p w14:paraId="6D1FB83E" w14:textId="77777777" w:rsidR="00E1198C" w:rsidRDefault="00E1198C">
      <w:pPr>
        <w:pStyle w:val="Tekstpodstawowy"/>
        <w:rPr>
          <w:rFonts w:ascii="Arial"/>
          <w:b/>
          <w:sz w:val="56"/>
        </w:rPr>
      </w:pPr>
    </w:p>
    <w:p w14:paraId="74EC07C0" w14:textId="77777777" w:rsidR="00E1198C" w:rsidRDefault="00E1198C">
      <w:pPr>
        <w:pStyle w:val="Tekstpodstawowy"/>
        <w:rPr>
          <w:rFonts w:ascii="Arial"/>
          <w:b/>
          <w:sz w:val="56"/>
        </w:rPr>
      </w:pPr>
    </w:p>
    <w:p w14:paraId="1DF239E0" w14:textId="77777777" w:rsidR="00E1198C" w:rsidRDefault="00E1198C">
      <w:pPr>
        <w:pStyle w:val="Tekstpodstawowy"/>
        <w:rPr>
          <w:rFonts w:ascii="Arial"/>
          <w:b/>
          <w:sz w:val="56"/>
        </w:rPr>
      </w:pPr>
    </w:p>
    <w:p w14:paraId="70A31A38" w14:textId="77777777" w:rsidR="00E1198C" w:rsidRDefault="00E1198C">
      <w:pPr>
        <w:pStyle w:val="Tekstpodstawowy"/>
        <w:rPr>
          <w:rFonts w:ascii="Arial"/>
          <w:b/>
          <w:sz w:val="56"/>
        </w:rPr>
      </w:pPr>
    </w:p>
    <w:p w14:paraId="3C31BA00" w14:textId="77777777" w:rsidR="00E1198C" w:rsidRDefault="00E1198C">
      <w:pPr>
        <w:pStyle w:val="Tekstpodstawowy"/>
        <w:rPr>
          <w:rFonts w:ascii="Arial"/>
          <w:b/>
          <w:sz w:val="56"/>
        </w:rPr>
      </w:pPr>
    </w:p>
    <w:p w14:paraId="5AB95BF4" w14:textId="77777777" w:rsidR="00E1198C" w:rsidRDefault="00E1198C">
      <w:pPr>
        <w:pStyle w:val="Tekstpodstawowy"/>
        <w:rPr>
          <w:rFonts w:ascii="Arial"/>
          <w:b/>
          <w:sz w:val="56"/>
        </w:rPr>
      </w:pPr>
    </w:p>
    <w:p w14:paraId="14098433" w14:textId="77777777" w:rsidR="00E1198C" w:rsidRDefault="00E1198C">
      <w:pPr>
        <w:pStyle w:val="Tekstpodstawowy"/>
        <w:rPr>
          <w:rFonts w:ascii="Arial"/>
          <w:b/>
          <w:sz w:val="56"/>
        </w:rPr>
      </w:pPr>
    </w:p>
    <w:p w14:paraId="4C2142DD" w14:textId="77777777" w:rsidR="00E1198C" w:rsidRDefault="00E1198C">
      <w:pPr>
        <w:pStyle w:val="Tekstpodstawowy"/>
        <w:rPr>
          <w:rFonts w:ascii="Arial"/>
          <w:b/>
          <w:sz w:val="56"/>
        </w:rPr>
      </w:pPr>
    </w:p>
    <w:p w14:paraId="330EE3D0" w14:textId="77777777" w:rsidR="00E1198C" w:rsidRDefault="00E1198C">
      <w:pPr>
        <w:pStyle w:val="Tekstpodstawowy"/>
        <w:rPr>
          <w:rFonts w:ascii="Arial"/>
          <w:b/>
          <w:sz w:val="56"/>
        </w:rPr>
      </w:pPr>
    </w:p>
    <w:p w14:paraId="5D467FFF" w14:textId="77777777" w:rsidR="00E1198C" w:rsidRDefault="00E1198C">
      <w:pPr>
        <w:pStyle w:val="Tekstpodstawowy"/>
        <w:rPr>
          <w:rFonts w:ascii="Arial"/>
          <w:b/>
          <w:sz w:val="56"/>
        </w:rPr>
      </w:pPr>
    </w:p>
    <w:p w14:paraId="74A946E1" w14:textId="77777777" w:rsidR="00E1198C" w:rsidRDefault="00E1198C">
      <w:pPr>
        <w:pStyle w:val="Tekstpodstawowy"/>
        <w:rPr>
          <w:rFonts w:ascii="Arial"/>
          <w:b/>
          <w:sz w:val="56"/>
        </w:rPr>
      </w:pPr>
    </w:p>
    <w:p w14:paraId="1D111F80" w14:textId="77777777" w:rsidR="00E1198C" w:rsidRDefault="00E1198C">
      <w:pPr>
        <w:pStyle w:val="Tekstpodstawowy"/>
        <w:rPr>
          <w:rFonts w:ascii="Arial"/>
          <w:b/>
          <w:sz w:val="56"/>
        </w:rPr>
      </w:pPr>
    </w:p>
    <w:p w14:paraId="34F22B6C" w14:textId="77777777" w:rsidR="00E1198C" w:rsidRDefault="00E1198C">
      <w:pPr>
        <w:pStyle w:val="Tekstpodstawowy"/>
        <w:rPr>
          <w:rFonts w:ascii="Arial"/>
          <w:b/>
          <w:sz w:val="56"/>
        </w:rPr>
      </w:pPr>
    </w:p>
    <w:p w14:paraId="4978915F" w14:textId="77777777" w:rsidR="00E1198C" w:rsidRDefault="00E1198C">
      <w:pPr>
        <w:pStyle w:val="Tekstpodstawowy"/>
        <w:rPr>
          <w:rFonts w:ascii="Arial"/>
          <w:b/>
          <w:sz w:val="56"/>
        </w:rPr>
      </w:pPr>
    </w:p>
    <w:p w14:paraId="316DB9C3" w14:textId="77777777" w:rsidR="00E1198C" w:rsidRDefault="00E1198C">
      <w:pPr>
        <w:pStyle w:val="Tekstpodstawowy"/>
        <w:rPr>
          <w:rFonts w:ascii="Arial"/>
          <w:b/>
          <w:sz w:val="56"/>
        </w:rPr>
      </w:pPr>
    </w:p>
    <w:p w14:paraId="597C35EB" w14:textId="77777777" w:rsidR="00E1198C" w:rsidRDefault="00E1198C">
      <w:pPr>
        <w:pStyle w:val="Tekstpodstawowy"/>
        <w:rPr>
          <w:rFonts w:ascii="Arial"/>
          <w:b/>
          <w:sz w:val="56"/>
        </w:rPr>
      </w:pPr>
    </w:p>
    <w:p w14:paraId="0D2D6E89" w14:textId="77777777" w:rsidR="00E1198C" w:rsidRDefault="00E1198C">
      <w:pPr>
        <w:pStyle w:val="Tekstpodstawowy"/>
        <w:rPr>
          <w:rFonts w:ascii="Arial"/>
          <w:b/>
          <w:sz w:val="56"/>
        </w:rPr>
      </w:pPr>
    </w:p>
    <w:p w14:paraId="22F64268" w14:textId="77777777" w:rsidR="00E1198C" w:rsidRDefault="00E1198C">
      <w:pPr>
        <w:pStyle w:val="Tekstpodstawowy"/>
        <w:rPr>
          <w:rFonts w:ascii="Arial"/>
          <w:b/>
          <w:sz w:val="56"/>
        </w:rPr>
      </w:pPr>
    </w:p>
    <w:p w14:paraId="5C5E51F1" w14:textId="77777777" w:rsidR="00E1198C" w:rsidRDefault="00E1198C">
      <w:pPr>
        <w:pStyle w:val="Tekstpodstawowy"/>
        <w:spacing w:before="133"/>
        <w:rPr>
          <w:rFonts w:ascii="Arial"/>
          <w:b/>
          <w:sz w:val="56"/>
        </w:rPr>
      </w:pPr>
    </w:p>
    <w:p w14:paraId="297A734D" w14:textId="77777777" w:rsidR="00E1198C" w:rsidRDefault="00000000">
      <w:pPr>
        <w:spacing w:before="1"/>
        <w:ind w:left="14"/>
        <w:jc w:val="center"/>
        <w:rPr>
          <w:rFonts w:ascii="Arial" w:hAnsi="Arial"/>
          <w:b/>
          <w:sz w:val="28"/>
        </w:rPr>
      </w:pPr>
      <w:proofErr w:type="spellStart"/>
      <w:r>
        <w:rPr>
          <w:rFonts w:ascii="Arial" w:hAnsi="Arial"/>
          <w:b/>
          <w:sz w:val="28"/>
        </w:rPr>
        <w:t>Kiełpin</w:t>
      </w:r>
      <w:proofErr w:type="spellEnd"/>
      <w:r>
        <w:rPr>
          <w:rFonts w:ascii="Arial" w:hAnsi="Arial"/>
          <w:b/>
          <w:sz w:val="28"/>
        </w:rPr>
        <w:t>, April 30, 2025</w:t>
      </w:r>
    </w:p>
    <w:p w14:paraId="59A62843" w14:textId="77777777" w:rsidR="00E1198C" w:rsidRDefault="00E1198C">
      <w:pPr>
        <w:jc w:val="center"/>
        <w:rPr>
          <w:rFonts w:ascii="Arial" w:hAnsi="Arial"/>
          <w:sz w:val="28"/>
        </w:rPr>
        <w:sectPr w:rsidR="00E1198C">
          <w:type w:val="continuous"/>
          <w:pgSz w:w="11900" w:h="16840"/>
          <w:pgMar w:top="1380" w:right="320" w:bottom="0" w:left="300" w:header="708" w:footer="708" w:gutter="0"/>
          <w:cols w:space="708"/>
        </w:sectPr>
      </w:pPr>
    </w:p>
    <w:p w14:paraId="566383A1" w14:textId="6084E4E4" w:rsidR="00E1198C" w:rsidRDefault="00000000">
      <w:pPr>
        <w:spacing w:before="44"/>
        <w:ind w:left="510"/>
        <w:rPr>
          <w:i/>
          <w:sz w:val="18"/>
        </w:rPr>
      </w:pPr>
      <w:r>
        <w:rPr>
          <w:i/>
          <w:sz w:val="18"/>
        </w:rPr>
        <w:lastRenderedPageBreak/>
        <w:t xml:space="preserve">Dear </w:t>
      </w:r>
      <w:r w:rsidR="000E7247">
        <w:rPr>
          <w:i/>
          <w:sz w:val="18"/>
        </w:rPr>
        <w:t>All</w:t>
      </w:r>
      <w:r>
        <w:rPr>
          <w:i/>
          <w:sz w:val="18"/>
        </w:rPr>
        <w:t>,</w:t>
      </w:r>
    </w:p>
    <w:p w14:paraId="42BDA9E7" w14:textId="77777777" w:rsidR="00E1198C" w:rsidRDefault="00000000">
      <w:pPr>
        <w:spacing w:before="151" w:line="271" w:lineRule="auto"/>
        <w:ind w:left="510" w:right="481" w:firstLine="708"/>
        <w:jc w:val="both"/>
        <w:rPr>
          <w:i/>
          <w:sz w:val="18"/>
        </w:rPr>
      </w:pPr>
      <w:r>
        <w:rPr>
          <w:i/>
          <w:sz w:val="18"/>
        </w:rPr>
        <w:t>The year 2024 was a time of implementing ambitious generic projects and achieving important innovative milestones for our organization.</w:t>
      </w:r>
    </w:p>
    <w:p w14:paraId="012BEAC6" w14:textId="77777777" w:rsidR="00E1198C" w:rsidRDefault="00000000">
      <w:pPr>
        <w:spacing w:before="123" w:line="276" w:lineRule="auto"/>
        <w:ind w:left="510" w:right="476" w:firstLine="708"/>
        <w:jc w:val="both"/>
        <w:rPr>
          <w:i/>
          <w:sz w:val="18"/>
        </w:rPr>
      </w:pPr>
      <w:r>
        <w:rPr>
          <w:i/>
          <w:sz w:val="18"/>
        </w:rPr>
        <w:t xml:space="preserve">Generated revenue from drug sales at a level exceeding PLN 175 million is the result of sales growth observed for all our products, as well as the successful market introduction of Zarixa, which in less than a year became one of the leading generic </w:t>
      </w:r>
      <w:proofErr w:type="spellStart"/>
      <w:r>
        <w:rPr>
          <w:i/>
          <w:sz w:val="18"/>
        </w:rPr>
        <w:t>rivaroxabans</w:t>
      </w:r>
      <w:proofErr w:type="spellEnd"/>
      <w:r>
        <w:rPr>
          <w:i/>
          <w:sz w:val="18"/>
        </w:rPr>
        <w:t>, despite a strong competitive environment.</w:t>
      </w:r>
    </w:p>
    <w:p w14:paraId="0CDA57F8" w14:textId="77777777" w:rsidR="00E1198C" w:rsidRDefault="00000000">
      <w:pPr>
        <w:spacing w:before="119" w:line="276" w:lineRule="auto"/>
        <w:ind w:left="510" w:right="480" w:firstLine="749"/>
        <w:jc w:val="both"/>
        <w:rPr>
          <w:i/>
          <w:sz w:val="18"/>
        </w:rPr>
      </w:pPr>
      <w:r>
        <w:rPr>
          <w:i/>
          <w:sz w:val="18"/>
        </w:rPr>
        <w:t>In terms of the innovative part of our business, we managed to successfully commercialize our Falkieri project; its development will be continued by a separate entity – Novohale. Two compounds from our pipeline: CPL'116 and CPL'36 achieved very good clinical results in the completed Phase II, thus permanently placing Celon Pharma S.A. on the global map of companies conducting advanced innovative drug projects. The strength of the clinical effect achieved, especially by CPL'36 – first in schizophrenia, and later in the treatment of levodopa-induced dyskinesias in Parkinson's disease, allowed the Management Board to strengthen its position in the Company's negotiations with potential partners.</w:t>
      </w:r>
    </w:p>
    <w:p w14:paraId="2F6D74C0" w14:textId="77777777" w:rsidR="00E1198C" w:rsidRDefault="00000000">
      <w:pPr>
        <w:spacing w:before="121" w:line="278" w:lineRule="auto"/>
        <w:ind w:left="510" w:right="476" w:firstLine="708"/>
        <w:jc w:val="both"/>
        <w:rPr>
          <w:i/>
          <w:sz w:val="18"/>
        </w:rPr>
      </w:pPr>
      <w:r>
        <w:rPr>
          <w:i/>
          <w:sz w:val="18"/>
        </w:rPr>
        <w:t>We strengthened the management structure of our organization, which was joined by Małgorzata Stokrocka, in the position of Chief Development and Operations Officer. These changes are the result of months of analyses aimed at increasing the efficiency of development and manufacturing processes. They also resulted in the introduction of an organizational division of Celon Pharma into three basic organizational units: Shared Services Center, Celon Pharma Specialty Pharmaceuticals, and Celon Pharma Pharmaceutical Innovations. Each of them constitutes a functionally, organizationally, and financially separate part of the organization. This is also the result of conversations with you, in which you repeatedly pointed out the need to present both branches of our business activity separately.</w:t>
      </w:r>
    </w:p>
    <w:p w14:paraId="1524BCD0" w14:textId="77777777" w:rsidR="00E1198C" w:rsidRDefault="00000000">
      <w:pPr>
        <w:spacing w:before="114" w:line="276" w:lineRule="auto"/>
        <w:ind w:left="510" w:right="481" w:firstLine="708"/>
        <w:jc w:val="both"/>
        <w:rPr>
          <w:i/>
          <w:sz w:val="18"/>
        </w:rPr>
      </w:pPr>
      <w:r>
        <w:rPr>
          <w:i/>
          <w:sz w:val="18"/>
        </w:rPr>
        <w:t>Ahead of us are further introductions of generic products in the area of cardiology, in the innovation area, after the successful unfreezing of funds in competitions under the National Recovery and Resilience Plan, our next projects have already passed positive verification in terms of content validation in the process of receiving financing from the Research and Development Agency.</w:t>
      </w:r>
    </w:p>
    <w:p w14:paraId="3D6C253B" w14:textId="77777777" w:rsidR="00E1198C" w:rsidRDefault="00000000">
      <w:pPr>
        <w:spacing w:before="120" w:line="273" w:lineRule="auto"/>
        <w:ind w:left="510" w:right="477" w:firstLine="708"/>
        <w:jc w:val="both"/>
        <w:rPr>
          <w:i/>
          <w:sz w:val="18"/>
        </w:rPr>
      </w:pPr>
      <w:r>
        <w:rPr>
          <w:i/>
          <w:sz w:val="18"/>
        </w:rPr>
        <w:t>Thanking you for another year of you being with us, I would like to emphasize the full determination of our Company's Management Board in achieving the best business results for our organization, keeping the interests of our Shareholders in mind. In our industry, results do not come quickly or easily, especially when, like Celon Pharma, our goals are ambitious, but with are deeply convinced about the correctness of the adopted strategic direction, which will bring the Company, its employees, and its Shareholders adequate and expected benefits.</w:t>
      </w:r>
    </w:p>
    <w:p w14:paraId="78DD2A53" w14:textId="77777777" w:rsidR="00E1198C" w:rsidRDefault="00E1198C">
      <w:pPr>
        <w:pStyle w:val="Tekstpodstawowy"/>
        <w:rPr>
          <w:i/>
        </w:rPr>
      </w:pPr>
    </w:p>
    <w:p w14:paraId="57ADAB3C" w14:textId="77777777" w:rsidR="00E1198C" w:rsidRDefault="00E1198C">
      <w:pPr>
        <w:pStyle w:val="Tekstpodstawowy"/>
        <w:rPr>
          <w:i/>
        </w:rPr>
      </w:pPr>
    </w:p>
    <w:p w14:paraId="3C8F0B04" w14:textId="77777777" w:rsidR="00E1198C" w:rsidRDefault="00E1198C">
      <w:pPr>
        <w:pStyle w:val="Tekstpodstawowy"/>
        <w:rPr>
          <w:i/>
        </w:rPr>
      </w:pPr>
    </w:p>
    <w:p w14:paraId="56A679B6" w14:textId="77777777" w:rsidR="00E1198C" w:rsidRDefault="00E1198C">
      <w:pPr>
        <w:pStyle w:val="Tekstpodstawowy"/>
        <w:rPr>
          <w:i/>
        </w:rPr>
      </w:pPr>
    </w:p>
    <w:p w14:paraId="4B980C1D" w14:textId="77777777" w:rsidR="00E1198C" w:rsidRDefault="00E1198C">
      <w:pPr>
        <w:pStyle w:val="Tekstpodstawowy"/>
        <w:spacing w:before="26"/>
        <w:rPr>
          <w:i/>
        </w:rPr>
      </w:pPr>
    </w:p>
    <w:p w14:paraId="23159BF0" w14:textId="77777777" w:rsidR="00E1198C" w:rsidRDefault="00000000">
      <w:pPr>
        <w:pStyle w:val="Tekstpodstawowy"/>
        <w:ind w:right="480"/>
        <w:jc w:val="right"/>
      </w:pPr>
      <w:r>
        <w:t>Maciej Wieczorek</w:t>
      </w:r>
    </w:p>
    <w:p w14:paraId="0F0C1324" w14:textId="77777777" w:rsidR="00E1198C" w:rsidRDefault="00000000">
      <w:pPr>
        <w:pStyle w:val="Tekstpodstawowy"/>
        <w:spacing w:before="3"/>
        <w:ind w:right="483"/>
        <w:jc w:val="right"/>
      </w:pPr>
      <w:r>
        <w:t>President of the Management Board of Celon Pharma S.A.</w:t>
      </w:r>
    </w:p>
    <w:p w14:paraId="5D471475" w14:textId="77777777" w:rsidR="00E1198C" w:rsidRDefault="00E1198C">
      <w:pPr>
        <w:jc w:val="right"/>
        <w:sectPr w:rsidR="00E1198C">
          <w:footerReference w:type="default" r:id="rId8"/>
          <w:pgSz w:w="11900" w:h="16840"/>
          <w:pgMar w:top="840" w:right="320" w:bottom="920" w:left="300" w:header="0" w:footer="726" w:gutter="0"/>
          <w:pgNumType w:start="1"/>
          <w:cols w:space="708"/>
        </w:sectPr>
      </w:pPr>
    </w:p>
    <w:p w14:paraId="0AE8B82E" w14:textId="77777777" w:rsidR="00E1198C" w:rsidRDefault="00000000">
      <w:pPr>
        <w:pStyle w:val="Tekstpodstawowy"/>
        <w:spacing w:before="53"/>
        <w:ind w:left="510"/>
      </w:pPr>
      <w:r>
        <w:rPr>
          <w:color w:val="EC7D31"/>
        </w:rPr>
        <w:lastRenderedPageBreak/>
        <w:t>TABLE OF CONTENTS</w:t>
      </w:r>
    </w:p>
    <w:p w14:paraId="1CEE70DD" w14:textId="77777777" w:rsidR="00E1198C" w:rsidRPr="00650FD4" w:rsidRDefault="00000000">
      <w:pPr>
        <w:pStyle w:val="Akapitzlist"/>
        <w:numPr>
          <w:ilvl w:val="0"/>
          <w:numId w:val="44"/>
        </w:numPr>
        <w:tabs>
          <w:tab w:val="left" w:pos="1400"/>
          <w:tab w:val="right" w:leader="dot" w:pos="10791"/>
        </w:tabs>
        <w:spacing w:before="635"/>
        <w:ind w:hanging="890"/>
        <w:rPr>
          <w:rFonts w:asciiTheme="minorHAnsi" w:hAnsiTheme="minorHAnsi" w:cstheme="minorHAnsi"/>
          <w:sz w:val="18"/>
        </w:rPr>
      </w:pPr>
      <w:r w:rsidRPr="00650FD4">
        <w:rPr>
          <w:rFonts w:asciiTheme="minorHAnsi" w:hAnsiTheme="minorHAnsi" w:cstheme="minorHAnsi"/>
          <w:sz w:val="18"/>
        </w:rPr>
        <w:t>Introduction</w:t>
      </w:r>
      <w:r w:rsidRPr="00650FD4">
        <w:rPr>
          <w:rFonts w:asciiTheme="minorHAnsi" w:hAnsiTheme="minorHAnsi" w:cstheme="minorHAnsi"/>
          <w:sz w:val="18"/>
        </w:rPr>
        <w:tab/>
        <w:t>4</w:t>
      </w:r>
    </w:p>
    <w:p w14:paraId="026C91F3" w14:textId="77777777" w:rsidR="00E1198C" w:rsidRPr="00650FD4" w:rsidRDefault="00000000">
      <w:pPr>
        <w:pStyle w:val="Akapitzlist"/>
        <w:numPr>
          <w:ilvl w:val="1"/>
          <w:numId w:val="44"/>
        </w:numPr>
        <w:tabs>
          <w:tab w:val="left" w:pos="1400"/>
          <w:tab w:val="right" w:leader="dot" w:pos="10789"/>
        </w:tabs>
        <w:spacing w:before="129"/>
        <w:ind w:hanging="710"/>
        <w:rPr>
          <w:rFonts w:asciiTheme="minorHAnsi" w:hAnsiTheme="minorHAnsi" w:cstheme="minorHAnsi"/>
          <w:sz w:val="18"/>
        </w:rPr>
      </w:pPr>
      <w:r w:rsidRPr="00650FD4">
        <w:rPr>
          <w:rFonts w:asciiTheme="minorHAnsi" w:hAnsiTheme="minorHAnsi" w:cstheme="minorHAnsi"/>
          <w:sz w:val="18"/>
        </w:rPr>
        <w:t>Selected financial data</w:t>
      </w:r>
      <w:r w:rsidRPr="00650FD4">
        <w:rPr>
          <w:rFonts w:asciiTheme="minorHAnsi" w:hAnsiTheme="minorHAnsi" w:cstheme="minorHAnsi"/>
          <w:sz w:val="18"/>
        </w:rPr>
        <w:tab/>
        <w:t>4</w:t>
      </w:r>
    </w:p>
    <w:p w14:paraId="1A27CB94" w14:textId="77777777" w:rsidR="00E1198C" w:rsidRPr="00650FD4" w:rsidRDefault="00000000">
      <w:pPr>
        <w:pStyle w:val="Akapitzlist"/>
        <w:numPr>
          <w:ilvl w:val="1"/>
          <w:numId w:val="44"/>
        </w:numPr>
        <w:tabs>
          <w:tab w:val="left" w:pos="1400"/>
          <w:tab w:val="right" w:leader="dot" w:pos="10790"/>
        </w:tabs>
        <w:spacing w:before="39"/>
        <w:ind w:hanging="710"/>
        <w:rPr>
          <w:rFonts w:asciiTheme="minorHAnsi" w:hAnsiTheme="minorHAnsi" w:cstheme="minorHAnsi"/>
          <w:sz w:val="18"/>
        </w:rPr>
      </w:pPr>
      <w:r w:rsidRPr="00650FD4">
        <w:rPr>
          <w:rFonts w:asciiTheme="minorHAnsi" w:hAnsiTheme="minorHAnsi" w:cstheme="minorHAnsi"/>
          <w:sz w:val="18"/>
        </w:rPr>
        <w:t>Comments on the performance</w:t>
      </w:r>
      <w:r w:rsidRPr="00650FD4">
        <w:rPr>
          <w:rFonts w:asciiTheme="minorHAnsi" w:hAnsiTheme="minorHAnsi" w:cstheme="minorHAnsi"/>
          <w:sz w:val="18"/>
        </w:rPr>
        <w:tab/>
        <w:t>4</w:t>
      </w:r>
    </w:p>
    <w:p w14:paraId="03B9BE5E" w14:textId="77777777" w:rsidR="00E1198C" w:rsidRPr="00650FD4" w:rsidRDefault="00000000">
      <w:pPr>
        <w:pStyle w:val="Akapitzlist"/>
        <w:numPr>
          <w:ilvl w:val="1"/>
          <w:numId w:val="44"/>
        </w:numPr>
        <w:tabs>
          <w:tab w:val="left" w:pos="1400"/>
          <w:tab w:val="right" w:leader="dot" w:pos="10789"/>
        </w:tabs>
        <w:spacing w:before="28"/>
        <w:ind w:hanging="710"/>
        <w:rPr>
          <w:rFonts w:asciiTheme="minorHAnsi" w:hAnsiTheme="minorHAnsi" w:cstheme="minorHAnsi"/>
          <w:sz w:val="18"/>
        </w:rPr>
      </w:pPr>
      <w:r w:rsidRPr="00650FD4">
        <w:rPr>
          <w:rFonts w:asciiTheme="minorHAnsi" w:hAnsiTheme="minorHAnsi" w:cstheme="minorHAnsi"/>
          <w:sz w:val="18"/>
        </w:rPr>
        <w:t>Branches and organizational and capital relations</w:t>
      </w:r>
      <w:r w:rsidRPr="00650FD4">
        <w:rPr>
          <w:rFonts w:asciiTheme="minorHAnsi" w:hAnsiTheme="minorHAnsi" w:cstheme="minorHAnsi"/>
          <w:sz w:val="18"/>
        </w:rPr>
        <w:tab/>
        <w:t>6</w:t>
      </w:r>
    </w:p>
    <w:p w14:paraId="07C8DF37" w14:textId="77777777" w:rsidR="00E1198C" w:rsidRPr="00650FD4" w:rsidRDefault="00000000">
      <w:pPr>
        <w:pStyle w:val="Akapitzlist"/>
        <w:numPr>
          <w:ilvl w:val="1"/>
          <w:numId w:val="44"/>
        </w:numPr>
        <w:tabs>
          <w:tab w:val="left" w:pos="1400"/>
          <w:tab w:val="right" w:leader="dot" w:pos="10789"/>
        </w:tabs>
        <w:spacing w:before="28"/>
        <w:ind w:hanging="710"/>
        <w:rPr>
          <w:rFonts w:asciiTheme="minorHAnsi" w:hAnsiTheme="minorHAnsi" w:cstheme="minorHAnsi"/>
          <w:sz w:val="18"/>
        </w:rPr>
      </w:pPr>
      <w:r w:rsidRPr="00650FD4">
        <w:rPr>
          <w:rFonts w:asciiTheme="minorHAnsi" w:hAnsiTheme="minorHAnsi" w:cstheme="minorHAnsi"/>
          <w:sz w:val="18"/>
        </w:rPr>
        <w:t>Changes in the basic principles of Company management</w:t>
      </w:r>
      <w:r w:rsidRPr="00650FD4">
        <w:rPr>
          <w:rFonts w:asciiTheme="minorHAnsi" w:hAnsiTheme="minorHAnsi" w:cstheme="minorHAnsi"/>
          <w:sz w:val="18"/>
        </w:rPr>
        <w:tab/>
        <w:t>6</w:t>
      </w:r>
    </w:p>
    <w:p w14:paraId="4027E3E6" w14:textId="77777777" w:rsidR="00E1198C" w:rsidRPr="00650FD4" w:rsidRDefault="00000000">
      <w:pPr>
        <w:pStyle w:val="Akapitzlist"/>
        <w:numPr>
          <w:ilvl w:val="0"/>
          <w:numId w:val="44"/>
        </w:numPr>
        <w:tabs>
          <w:tab w:val="left" w:pos="1400"/>
          <w:tab w:val="right" w:leader="dot" w:pos="10789"/>
        </w:tabs>
        <w:spacing w:before="163"/>
        <w:ind w:hanging="890"/>
        <w:rPr>
          <w:rFonts w:asciiTheme="minorHAnsi" w:hAnsiTheme="minorHAnsi" w:cstheme="minorHAnsi"/>
          <w:sz w:val="18"/>
        </w:rPr>
      </w:pPr>
      <w:r w:rsidRPr="00650FD4">
        <w:rPr>
          <w:rFonts w:asciiTheme="minorHAnsi" w:hAnsiTheme="minorHAnsi" w:cstheme="minorHAnsi"/>
          <w:sz w:val="18"/>
        </w:rPr>
        <w:t>Operations of Celon Pharma S.A. in 2024</w:t>
      </w:r>
      <w:r w:rsidRPr="00650FD4">
        <w:rPr>
          <w:rFonts w:asciiTheme="minorHAnsi" w:hAnsiTheme="minorHAnsi" w:cstheme="minorHAnsi"/>
          <w:sz w:val="18"/>
        </w:rPr>
        <w:tab/>
        <w:t>6</w:t>
      </w:r>
    </w:p>
    <w:p w14:paraId="555EBAC1" w14:textId="77777777" w:rsidR="00E1198C" w:rsidRPr="00650FD4" w:rsidRDefault="00000000">
      <w:pPr>
        <w:pStyle w:val="Akapitzlist"/>
        <w:numPr>
          <w:ilvl w:val="1"/>
          <w:numId w:val="44"/>
        </w:numPr>
        <w:tabs>
          <w:tab w:val="left" w:pos="1400"/>
          <w:tab w:val="right" w:leader="dot" w:pos="10785"/>
        </w:tabs>
        <w:spacing w:before="129"/>
        <w:ind w:hanging="710"/>
        <w:rPr>
          <w:rFonts w:asciiTheme="minorHAnsi" w:hAnsiTheme="minorHAnsi" w:cstheme="minorHAnsi"/>
          <w:sz w:val="18"/>
        </w:rPr>
      </w:pPr>
      <w:r w:rsidRPr="00650FD4">
        <w:rPr>
          <w:rFonts w:asciiTheme="minorHAnsi" w:hAnsiTheme="minorHAnsi" w:cstheme="minorHAnsi"/>
          <w:sz w:val="18"/>
        </w:rPr>
        <w:t>Fundamental products, goods and services</w:t>
      </w:r>
      <w:r w:rsidRPr="00650FD4">
        <w:rPr>
          <w:rFonts w:asciiTheme="minorHAnsi" w:hAnsiTheme="minorHAnsi" w:cstheme="minorHAnsi"/>
          <w:sz w:val="18"/>
        </w:rPr>
        <w:tab/>
        <w:t>6</w:t>
      </w:r>
    </w:p>
    <w:p w14:paraId="2E2F73E7" w14:textId="77777777" w:rsidR="00E1198C" w:rsidRPr="00650FD4" w:rsidRDefault="00000000">
      <w:pPr>
        <w:pStyle w:val="Akapitzlist"/>
        <w:numPr>
          <w:ilvl w:val="2"/>
          <w:numId w:val="44"/>
        </w:numPr>
        <w:tabs>
          <w:tab w:val="left" w:pos="1783"/>
          <w:tab w:val="right" w:leader="dot" w:pos="10783"/>
        </w:tabs>
        <w:spacing w:before="29"/>
        <w:rPr>
          <w:rFonts w:asciiTheme="minorHAnsi" w:hAnsiTheme="minorHAnsi" w:cstheme="minorHAnsi"/>
          <w:i/>
          <w:sz w:val="18"/>
        </w:rPr>
      </w:pPr>
      <w:r w:rsidRPr="00650FD4">
        <w:rPr>
          <w:rFonts w:asciiTheme="minorHAnsi" w:hAnsiTheme="minorHAnsi" w:cstheme="minorHAnsi"/>
          <w:i/>
          <w:iCs/>
          <w:sz w:val="18"/>
        </w:rPr>
        <w:t>Generic segment</w:t>
      </w:r>
      <w:r w:rsidRPr="00650FD4">
        <w:rPr>
          <w:rFonts w:asciiTheme="minorHAnsi" w:hAnsiTheme="minorHAnsi" w:cstheme="minorHAnsi"/>
          <w:i/>
          <w:iCs/>
          <w:sz w:val="18"/>
        </w:rPr>
        <w:tab/>
        <w:t>7</w:t>
      </w:r>
    </w:p>
    <w:p w14:paraId="6D7E2D12" w14:textId="77777777" w:rsidR="00E1198C" w:rsidRPr="00650FD4" w:rsidRDefault="00000000">
      <w:pPr>
        <w:pStyle w:val="Akapitzlist"/>
        <w:numPr>
          <w:ilvl w:val="2"/>
          <w:numId w:val="44"/>
        </w:numPr>
        <w:tabs>
          <w:tab w:val="left" w:pos="1783"/>
          <w:tab w:val="right" w:leader="dot" w:pos="10785"/>
        </w:tabs>
        <w:spacing w:before="39"/>
        <w:rPr>
          <w:rFonts w:asciiTheme="minorHAnsi" w:hAnsiTheme="minorHAnsi" w:cstheme="minorHAnsi"/>
          <w:i/>
          <w:sz w:val="18"/>
        </w:rPr>
      </w:pPr>
      <w:r w:rsidRPr="00650FD4">
        <w:rPr>
          <w:rFonts w:asciiTheme="minorHAnsi" w:hAnsiTheme="minorHAnsi" w:cstheme="minorHAnsi"/>
          <w:i/>
          <w:iCs/>
          <w:sz w:val="18"/>
        </w:rPr>
        <w:t>Innovative segment</w:t>
      </w:r>
      <w:r w:rsidRPr="00650FD4">
        <w:rPr>
          <w:rFonts w:asciiTheme="minorHAnsi" w:hAnsiTheme="minorHAnsi" w:cstheme="minorHAnsi"/>
          <w:i/>
          <w:iCs/>
          <w:sz w:val="18"/>
        </w:rPr>
        <w:tab/>
        <w:t>9</w:t>
      </w:r>
    </w:p>
    <w:p w14:paraId="1C9408AC" w14:textId="77777777" w:rsidR="00E1198C" w:rsidRPr="00650FD4" w:rsidRDefault="00000000">
      <w:pPr>
        <w:pStyle w:val="Akapitzlist"/>
        <w:numPr>
          <w:ilvl w:val="1"/>
          <w:numId w:val="44"/>
        </w:numPr>
        <w:tabs>
          <w:tab w:val="left" w:pos="1400"/>
          <w:tab w:val="right" w:leader="dot" w:pos="10786"/>
        </w:tabs>
        <w:spacing w:before="27"/>
        <w:ind w:hanging="710"/>
        <w:rPr>
          <w:rFonts w:asciiTheme="minorHAnsi" w:hAnsiTheme="minorHAnsi" w:cstheme="minorHAnsi"/>
          <w:sz w:val="18"/>
        </w:rPr>
      </w:pPr>
      <w:r w:rsidRPr="00650FD4">
        <w:rPr>
          <w:rFonts w:asciiTheme="minorHAnsi" w:hAnsiTheme="minorHAnsi" w:cstheme="minorHAnsi"/>
          <w:sz w:val="18"/>
        </w:rPr>
        <w:t>Events and agreements significant for the Company’s activities in 2024</w:t>
      </w:r>
      <w:r w:rsidRPr="00650FD4">
        <w:rPr>
          <w:rFonts w:asciiTheme="minorHAnsi" w:hAnsiTheme="minorHAnsi" w:cstheme="minorHAnsi"/>
          <w:sz w:val="18"/>
        </w:rPr>
        <w:tab/>
        <w:t>10</w:t>
      </w:r>
    </w:p>
    <w:p w14:paraId="761D6F25" w14:textId="77777777" w:rsidR="00E1198C" w:rsidRPr="00650FD4" w:rsidRDefault="00000000">
      <w:pPr>
        <w:pStyle w:val="Akapitzlist"/>
        <w:numPr>
          <w:ilvl w:val="1"/>
          <w:numId w:val="44"/>
        </w:numPr>
        <w:tabs>
          <w:tab w:val="left" w:pos="1400"/>
          <w:tab w:val="right" w:leader="dot" w:pos="10791"/>
        </w:tabs>
        <w:spacing w:before="39"/>
        <w:ind w:hanging="710"/>
        <w:rPr>
          <w:rFonts w:asciiTheme="minorHAnsi" w:hAnsiTheme="minorHAnsi" w:cstheme="minorHAnsi"/>
          <w:sz w:val="18"/>
        </w:rPr>
      </w:pPr>
      <w:r w:rsidRPr="00650FD4">
        <w:rPr>
          <w:rFonts w:asciiTheme="minorHAnsi" w:hAnsiTheme="minorHAnsi" w:cstheme="minorHAnsi"/>
          <w:sz w:val="18"/>
        </w:rPr>
        <w:t>Agreements concluded with shareholders with would be of nature significant for the Company’s activities</w:t>
      </w:r>
      <w:r w:rsidRPr="00650FD4">
        <w:rPr>
          <w:rFonts w:asciiTheme="minorHAnsi" w:hAnsiTheme="minorHAnsi" w:cstheme="minorHAnsi"/>
          <w:sz w:val="18"/>
        </w:rPr>
        <w:tab/>
        <w:t>14</w:t>
      </w:r>
    </w:p>
    <w:p w14:paraId="623DD547" w14:textId="77777777" w:rsidR="00E1198C" w:rsidRPr="00650FD4" w:rsidRDefault="00000000">
      <w:pPr>
        <w:pStyle w:val="Akapitzlist"/>
        <w:numPr>
          <w:ilvl w:val="1"/>
          <w:numId w:val="44"/>
        </w:numPr>
        <w:tabs>
          <w:tab w:val="left" w:pos="1400"/>
          <w:tab w:val="right" w:leader="dot" w:pos="10792"/>
        </w:tabs>
        <w:spacing w:before="28"/>
        <w:ind w:hanging="710"/>
        <w:rPr>
          <w:rFonts w:asciiTheme="minorHAnsi" w:hAnsiTheme="minorHAnsi" w:cstheme="minorHAnsi"/>
          <w:sz w:val="18"/>
        </w:rPr>
      </w:pPr>
      <w:r w:rsidRPr="00650FD4">
        <w:rPr>
          <w:rFonts w:asciiTheme="minorHAnsi" w:hAnsiTheme="minorHAnsi" w:cstheme="minorHAnsi"/>
          <w:sz w:val="18"/>
        </w:rPr>
        <w:t>Significant insurance  or cooperation agreements</w:t>
      </w:r>
      <w:r w:rsidRPr="00650FD4">
        <w:rPr>
          <w:rFonts w:asciiTheme="minorHAnsi" w:hAnsiTheme="minorHAnsi" w:cstheme="minorHAnsi"/>
          <w:sz w:val="18"/>
        </w:rPr>
        <w:tab/>
        <w:t>14</w:t>
      </w:r>
    </w:p>
    <w:p w14:paraId="792BE1ED" w14:textId="77777777" w:rsidR="00E1198C" w:rsidRPr="00650FD4" w:rsidRDefault="00000000">
      <w:pPr>
        <w:pStyle w:val="Akapitzlist"/>
        <w:numPr>
          <w:ilvl w:val="1"/>
          <w:numId w:val="44"/>
        </w:numPr>
        <w:tabs>
          <w:tab w:val="left" w:pos="1400"/>
          <w:tab w:val="right" w:leader="dot" w:pos="10793"/>
        </w:tabs>
        <w:spacing w:before="39"/>
        <w:ind w:hanging="710"/>
        <w:rPr>
          <w:rFonts w:asciiTheme="minorHAnsi" w:hAnsiTheme="minorHAnsi" w:cstheme="minorHAnsi"/>
          <w:sz w:val="18"/>
        </w:rPr>
      </w:pPr>
      <w:r w:rsidRPr="00650FD4">
        <w:rPr>
          <w:rFonts w:asciiTheme="minorHAnsi" w:hAnsiTheme="minorHAnsi" w:cstheme="minorHAnsi"/>
          <w:sz w:val="18"/>
        </w:rPr>
        <w:t>Material post-balance sheet events</w:t>
      </w:r>
      <w:r w:rsidRPr="00650FD4">
        <w:rPr>
          <w:rFonts w:asciiTheme="minorHAnsi" w:hAnsiTheme="minorHAnsi" w:cstheme="minorHAnsi"/>
          <w:sz w:val="18"/>
        </w:rPr>
        <w:tab/>
        <w:t>14</w:t>
      </w:r>
    </w:p>
    <w:p w14:paraId="238738D6" w14:textId="77777777" w:rsidR="00E1198C" w:rsidRPr="00650FD4" w:rsidRDefault="00000000">
      <w:pPr>
        <w:pStyle w:val="Akapitzlist"/>
        <w:numPr>
          <w:ilvl w:val="0"/>
          <w:numId w:val="44"/>
        </w:numPr>
        <w:tabs>
          <w:tab w:val="left" w:pos="1400"/>
          <w:tab w:val="right" w:leader="dot" w:pos="10791"/>
        </w:tabs>
        <w:spacing w:before="152"/>
        <w:ind w:hanging="890"/>
        <w:rPr>
          <w:rFonts w:asciiTheme="minorHAnsi" w:hAnsiTheme="minorHAnsi" w:cstheme="minorHAnsi"/>
          <w:sz w:val="18"/>
        </w:rPr>
      </w:pPr>
      <w:r w:rsidRPr="00650FD4">
        <w:rPr>
          <w:rFonts w:asciiTheme="minorHAnsi" w:hAnsiTheme="minorHAnsi" w:cstheme="minorHAnsi"/>
          <w:sz w:val="18"/>
        </w:rPr>
        <w:t>Financial information of Celon Pharma S.A. for 2024</w:t>
      </w:r>
      <w:r w:rsidRPr="00650FD4">
        <w:rPr>
          <w:rFonts w:asciiTheme="minorHAnsi" w:hAnsiTheme="minorHAnsi" w:cstheme="minorHAnsi"/>
          <w:sz w:val="18"/>
        </w:rPr>
        <w:tab/>
        <w:t>16</w:t>
      </w:r>
    </w:p>
    <w:p w14:paraId="159C2769" w14:textId="77777777" w:rsidR="00E1198C" w:rsidRPr="00650FD4" w:rsidRDefault="00000000">
      <w:pPr>
        <w:pStyle w:val="Akapitzlist"/>
        <w:numPr>
          <w:ilvl w:val="1"/>
          <w:numId w:val="44"/>
        </w:numPr>
        <w:tabs>
          <w:tab w:val="left" w:pos="1400"/>
          <w:tab w:val="right" w:leader="dot" w:pos="10791"/>
        </w:tabs>
        <w:spacing w:before="129"/>
        <w:ind w:hanging="710"/>
        <w:rPr>
          <w:rFonts w:asciiTheme="minorHAnsi" w:hAnsiTheme="minorHAnsi" w:cstheme="minorHAnsi"/>
          <w:sz w:val="18"/>
        </w:rPr>
      </w:pPr>
      <w:r w:rsidRPr="00650FD4">
        <w:rPr>
          <w:rFonts w:asciiTheme="minorHAnsi" w:hAnsiTheme="minorHAnsi" w:cstheme="minorHAnsi"/>
          <w:sz w:val="18"/>
        </w:rPr>
        <w:t>Principles for the preparation of the financial statements</w:t>
      </w:r>
      <w:r w:rsidRPr="00650FD4">
        <w:rPr>
          <w:rFonts w:asciiTheme="minorHAnsi" w:hAnsiTheme="minorHAnsi" w:cstheme="minorHAnsi"/>
          <w:sz w:val="18"/>
        </w:rPr>
        <w:tab/>
        <w:t>16</w:t>
      </w:r>
    </w:p>
    <w:p w14:paraId="22A0AD6E" w14:textId="77777777" w:rsidR="00E1198C" w:rsidRPr="00650FD4" w:rsidRDefault="00000000">
      <w:pPr>
        <w:pStyle w:val="Akapitzlist"/>
        <w:numPr>
          <w:ilvl w:val="1"/>
          <w:numId w:val="44"/>
        </w:numPr>
        <w:tabs>
          <w:tab w:val="left" w:pos="1400"/>
          <w:tab w:val="right" w:leader="dot" w:pos="10792"/>
        </w:tabs>
        <w:spacing w:before="39"/>
        <w:ind w:hanging="710"/>
        <w:rPr>
          <w:rFonts w:asciiTheme="minorHAnsi" w:hAnsiTheme="minorHAnsi" w:cstheme="minorHAnsi"/>
          <w:sz w:val="18"/>
        </w:rPr>
      </w:pPr>
      <w:r w:rsidRPr="00650FD4">
        <w:rPr>
          <w:rFonts w:asciiTheme="minorHAnsi" w:hAnsiTheme="minorHAnsi" w:cstheme="minorHAnsi"/>
          <w:sz w:val="18"/>
        </w:rPr>
        <w:t>Key figures and economic, financial and non-financial indicators</w:t>
      </w:r>
      <w:r w:rsidRPr="00650FD4">
        <w:rPr>
          <w:rFonts w:asciiTheme="minorHAnsi" w:hAnsiTheme="minorHAnsi" w:cstheme="minorHAnsi"/>
          <w:sz w:val="18"/>
        </w:rPr>
        <w:tab/>
        <w:t>16</w:t>
      </w:r>
    </w:p>
    <w:p w14:paraId="092A16FA" w14:textId="77777777" w:rsidR="00E1198C" w:rsidRPr="00650FD4" w:rsidRDefault="00000000">
      <w:pPr>
        <w:pStyle w:val="Akapitzlist"/>
        <w:numPr>
          <w:ilvl w:val="1"/>
          <w:numId w:val="44"/>
        </w:numPr>
        <w:tabs>
          <w:tab w:val="left" w:pos="1400"/>
          <w:tab w:val="right" w:leader="dot" w:pos="10789"/>
        </w:tabs>
        <w:spacing w:before="28"/>
        <w:ind w:hanging="710"/>
        <w:rPr>
          <w:rFonts w:asciiTheme="minorHAnsi" w:hAnsiTheme="minorHAnsi" w:cstheme="minorHAnsi"/>
          <w:sz w:val="18"/>
        </w:rPr>
      </w:pPr>
      <w:r w:rsidRPr="00650FD4">
        <w:rPr>
          <w:rFonts w:asciiTheme="minorHAnsi" w:hAnsiTheme="minorHAnsi" w:cstheme="minorHAnsi"/>
          <w:sz w:val="18"/>
        </w:rPr>
        <w:t>Current and projected financial situation</w:t>
      </w:r>
      <w:r w:rsidRPr="00650FD4">
        <w:rPr>
          <w:rFonts w:asciiTheme="minorHAnsi" w:hAnsiTheme="minorHAnsi" w:cstheme="minorHAnsi"/>
          <w:sz w:val="18"/>
        </w:rPr>
        <w:tab/>
        <w:t>16</w:t>
      </w:r>
    </w:p>
    <w:p w14:paraId="2EC02946" w14:textId="77777777" w:rsidR="00E1198C" w:rsidRPr="00650FD4" w:rsidRDefault="00000000">
      <w:pPr>
        <w:pStyle w:val="Akapitzlist"/>
        <w:numPr>
          <w:ilvl w:val="1"/>
          <w:numId w:val="44"/>
        </w:numPr>
        <w:tabs>
          <w:tab w:val="left" w:pos="1400"/>
          <w:tab w:val="right" w:leader="dot" w:pos="10789"/>
        </w:tabs>
        <w:spacing w:before="27"/>
        <w:ind w:hanging="710"/>
        <w:rPr>
          <w:rFonts w:asciiTheme="minorHAnsi" w:hAnsiTheme="minorHAnsi" w:cstheme="minorHAnsi"/>
          <w:sz w:val="18"/>
        </w:rPr>
      </w:pPr>
      <w:r w:rsidRPr="00650FD4">
        <w:rPr>
          <w:rFonts w:asciiTheme="minorHAnsi" w:hAnsiTheme="minorHAnsi" w:cstheme="minorHAnsi"/>
          <w:sz w:val="18"/>
        </w:rPr>
        <w:t>Factors and events, including unusual ones, affecting the Company’s activities and financial results</w:t>
      </w:r>
      <w:r w:rsidRPr="00650FD4">
        <w:rPr>
          <w:rFonts w:asciiTheme="minorHAnsi" w:hAnsiTheme="minorHAnsi" w:cstheme="minorHAnsi"/>
          <w:sz w:val="18"/>
        </w:rPr>
        <w:tab/>
        <w:t>16</w:t>
      </w:r>
    </w:p>
    <w:p w14:paraId="1CFC1B9A" w14:textId="77777777" w:rsidR="00E1198C" w:rsidRPr="00650FD4" w:rsidRDefault="00000000">
      <w:pPr>
        <w:pStyle w:val="Akapitzlist"/>
        <w:numPr>
          <w:ilvl w:val="1"/>
          <w:numId w:val="44"/>
        </w:numPr>
        <w:tabs>
          <w:tab w:val="left" w:pos="1400"/>
          <w:tab w:val="right" w:leader="dot" w:pos="10785"/>
        </w:tabs>
        <w:spacing w:before="40"/>
        <w:ind w:hanging="710"/>
        <w:rPr>
          <w:rFonts w:asciiTheme="minorHAnsi" w:hAnsiTheme="minorHAnsi" w:cstheme="minorHAnsi"/>
          <w:sz w:val="18"/>
        </w:rPr>
      </w:pPr>
      <w:r w:rsidRPr="00650FD4">
        <w:rPr>
          <w:rFonts w:asciiTheme="minorHAnsi" w:hAnsiTheme="minorHAnsi" w:cstheme="minorHAnsi"/>
          <w:sz w:val="18"/>
        </w:rPr>
        <w:t>Implementation of financial results forecasts</w:t>
      </w:r>
      <w:r w:rsidRPr="00650FD4">
        <w:rPr>
          <w:rFonts w:asciiTheme="minorHAnsi" w:hAnsiTheme="minorHAnsi" w:cstheme="minorHAnsi"/>
          <w:sz w:val="18"/>
        </w:rPr>
        <w:tab/>
        <w:t>16</w:t>
      </w:r>
    </w:p>
    <w:p w14:paraId="0EBBAD21" w14:textId="77777777" w:rsidR="00E1198C" w:rsidRPr="00650FD4" w:rsidRDefault="00000000">
      <w:pPr>
        <w:pStyle w:val="Akapitzlist"/>
        <w:numPr>
          <w:ilvl w:val="1"/>
          <w:numId w:val="44"/>
        </w:numPr>
        <w:tabs>
          <w:tab w:val="left" w:pos="1400"/>
          <w:tab w:val="right" w:leader="dot" w:pos="10792"/>
        </w:tabs>
        <w:spacing w:before="27"/>
        <w:ind w:hanging="710"/>
        <w:rPr>
          <w:rFonts w:asciiTheme="minorHAnsi" w:hAnsiTheme="minorHAnsi" w:cstheme="minorHAnsi"/>
          <w:sz w:val="18"/>
        </w:rPr>
      </w:pPr>
      <w:r w:rsidRPr="00650FD4">
        <w:rPr>
          <w:rFonts w:asciiTheme="minorHAnsi" w:hAnsiTheme="minorHAnsi" w:cstheme="minorHAnsi"/>
          <w:sz w:val="18"/>
        </w:rPr>
        <w:t>Financial instruments</w:t>
      </w:r>
      <w:r w:rsidRPr="00650FD4">
        <w:rPr>
          <w:rFonts w:asciiTheme="minorHAnsi" w:hAnsiTheme="minorHAnsi" w:cstheme="minorHAnsi"/>
          <w:sz w:val="18"/>
        </w:rPr>
        <w:tab/>
        <w:t>16</w:t>
      </w:r>
    </w:p>
    <w:p w14:paraId="50ED77B8" w14:textId="77777777" w:rsidR="00E1198C" w:rsidRPr="00650FD4" w:rsidRDefault="00000000">
      <w:pPr>
        <w:pStyle w:val="Akapitzlist"/>
        <w:numPr>
          <w:ilvl w:val="1"/>
          <w:numId w:val="44"/>
        </w:numPr>
        <w:tabs>
          <w:tab w:val="left" w:pos="1400"/>
          <w:tab w:val="right" w:leader="dot" w:pos="10788"/>
        </w:tabs>
        <w:spacing w:before="40"/>
        <w:ind w:hanging="710"/>
        <w:rPr>
          <w:rFonts w:asciiTheme="minorHAnsi" w:hAnsiTheme="minorHAnsi" w:cstheme="minorHAnsi"/>
          <w:sz w:val="18"/>
        </w:rPr>
      </w:pPr>
      <w:r w:rsidRPr="00650FD4">
        <w:rPr>
          <w:rFonts w:asciiTheme="minorHAnsi" w:hAnsiTheme="minorHAnsi" w:cstheme="minorHAnsi"/>
          <w:sz w:val="18"/>
        </w:rPr>
        <w:t>Loans and borrowings</w:t>
      </w:r>
      <w:r w:rsidRPr="00650FD4">
        <w:rPr>
          <w:rFonts w:asciiTheme="minorHAnsi" w:hAnsiTheme="minorHAnsi" w:cstheme="minorHAnsi"/>
          <w:sz w:val="18"/>
        </w:rPr>
        <w:tab/>
        <w:t>17</w:t>
      </w:r>
    </w:p>
    <w:p w14:paraId="4116B88B" w14:textId="77777777" w:rsidR="00E1198C" w:rsidRPr="00650FD4" w:rsidRDefault="00000000">
      <w:pPr>
        <w:pStyle w:val="Akapitzlist"/>
        <w:numPr>
          <w:ilvl w:val="1"/>
          <w:numId w:val="44"/>
        </w:numPr>
        <w:tabs>
          <w:tab w:val="left" w:pos="1400"/>
          <w:tab w:val="right" w:leader="dot" w:pos="10791"/>
        </w:tabs>
        <w:spacing w:before="27"/>
        <w:ind w:hanging="710"/>
        <w:rPr>
          <w:rFonts w:asciiTheme="minorHAnsi" w:hAnsiTheme="minorHAnsi" w:cstheme="minorHAnsi"/>
          <w:sz w:val="18"/>
        </w:rPr>
      </w:pPr>
      <w:r w:rsidRPr="00650FD4">
        <w:rPr>
          <w:rFonts w:asciiTheme="minorHAnsi" w:hAnsiTheme="minorHAnsi" w:cstheme="minorHAnsi"/>
          <w:sz w:val="18"/>
        </w:rPr>
        <w:t>Sureties and guarantees</w:t>
      </w:r>
      <w:r w:rsidRPr="00650FD4">
        <w:rPr>
          <w:rFonts w:asciiTheme="minorHAnsi" w:hAnsiTheme="minorHAnsi" w:cstheme="minorHAnsi"/>
          <w:sz w:val="18"/>
        </w:rPr>
        <w:tab/>
        <w:t>17</w:t>
      </w:r>
    </w:p>
    <w:p w14:paraId="1FB27926" w14:textId="77777777" w:rsidR="00E1198C" w:rsidRPr="00650FD4" w:rsidRDefault="00000000">
      <w:pPr>
        <w:pStyle w:val="Akapitzlist"/>
        <w:numPr>
          <w:ilvl w:val="1"/>
          <w:numId w:val="44"/>
        </w:numPr>
        <w:tabs>
          <w:tab w:val="left" w:pos="1400"/>
          <w:tab w:val="right" w:leader="dot" w:pos="10787"/>
        </w:tabs>
        <w:spacing w:before="39"/>
        <w:ind w:hanging="710"/>
        <w:rPr>
          <w:rFonts w:asciiTheme="minorHAnsi" w:hAnsiTheme="minorHAnsi" w:cstheme="minorHAnsi"/>
          <w:sz w:val="18"/>
        </w:rPr>
      </w:pPr>
      <w:r w:rsidRPr="00650FD4">
        <w:rPr>
          <w:rFonts w:asciiTheme="minorHAnsi" w:hAnsiTheme="minorHAnsi" w:cstheme="minorHAnsi"/>
          <w:sz w:val="18"/>
        </w:rPr>
        <w:t>Transactions with affiliates</w:t>
      </w:r>
      <w:r w:rsidRPr="00650FD4">
        <w:rPr>
          <w:rFonts w:asciiTheme="minorHAnsi" w:hAnsiTheme="minorHAnsi" w:cstheme="minorHAnsi"/>
          <w:sz w:val="18"/>
        </w:rPr>
        <w:tab/>
        <w:t>17</w:t>
      </w:r>
    </w:p>
    <w:p w14:paraId="1CDE79AE" w14:textId="77777777" w:rsidR="00E1198C" w:rsidRPr="00650FD4" w:rsidRDefault="00000000">
      <w:pPr>
        <w:pStyle w:val="Akapitzlist"/>
        <w:numPr>
          <w:ilvl w:val="1"/>
          <w:numId w:val="44"/>
        </w:numPr>
        <w:tabs>
          <w:tab w:val="left" w:pos="1400"/>
          <w:tab w:val="right" w:leader="dot" w:pos="10785"/>
        </w:tabs>
        <w:spacing w:before="28"/>
        <w:ind w:hanging="710"/>
        <w:rPr>
          <w:rFonts w:asciiTheme="minorHAnsi" w:hAnsiTheme="minorHAnsi" w:cstheme="minorHAnsi"/>
          <w:sz w:val="18"/>
        </w:rPr>
      </w:pPr>
      <w:r w:rsidRPr="00650FD4">
        <w:rPr>
          <w:rFonts w:asciiTheme="minorHAnsi" w:hAnsiTheme="minorHAnsi" w:cstheme="minorHAnsi"/>
          <w:sz w:val="18"/>
        </w:rPr>
        <w:t>Securities offerings</w:t>
      </w:r>
      <w:r w:rsidRPr="00650FD4">
        <w:rPr>
          <w:rFonts w:asciiTheme="minorHAnsi" w:hAnsiTheme="minorHAnsi" w:cstheme="minorHAnsi"/>
          <w:sz w:val="18"/>
        </w:rPr>
        <w:tab/>
        <w:t>17</w:t>
      </w:r>
    </w:p>
    <w:p w14:paraId="1DEEB7A5" w14:textId="77777777" w:rsidR="00E1198C" w:rsidRPr="00650FD4" w:rsidRDefault="00000000">
      <w:pPr>
        <w:pStyle w:val="Akapitzlist"/>
        <w:numPr>
          <w:ilvl w:val="1"/>
          <w:numId w:val="44"/>
        </w:numPr>
        <w:tabs>
          <w:tab w:val="left" w:pos="1400"/>
          <w:tab w:val="right" w:leader="dot" w:pos="10788"/>
        </w:tabs>
        <w:spacing w:before="39"/>
        <w:ind w:hanging="710"/>
        <w:rPr>
          <w:rFonts w:asciiTheme="minorHAnsi" w:hAnsiTheme="minorHAnsi" w:cstheme="minorHAnsi"/>
          <w:sz w:val="18"/>
        </w:rPr>
      </w:pPr>
      <w:r w:rsidRPr="00650FD4">
        <w:rPr>
          <w:rFonts w:asciiTheme="minorHAnsi" w:hAnsiTheme="minorHAnsi" w:cstheme="minorHAnsi"/>
          <w:sz w:val="18"/>
        </w:rPr>
        <w:t>Dividend</w:t>
      </w:r>
      <w:r w:rsidRPr="00650FD4">
        <w:rPr>
          <w:rFonts w:asciiTheme="minorHAnsi" w:hAnsiTheme="minorHAnsi" w:cstheme="minorHAnsi"/>
          <w:sz w:val="18"/>
        </w:rPr>
        <w:tab/>
        <w:t>18</w:t>
      </w:r>
    </w:p>
    <w:p w14:paraId="6A07E797" w14:textId="77777777" w:rsidR="00E1198C" w:rsidRPr="00650FD4" w:rsidRDefault="00000000">
      <w:pPr>
        <w:pStyle w:val="Akapitzlist"/>
        <w:numPr>
          <w:ilvl w:val="1"/>
          <w:numId w:val="44"/>
        </w:numPr>
        <w:tabs>
          <w:tab w:val="left" w:pos="1400"/>
          <w:tab w:val="right" w:leader="dot" w:pos="10784"/>
        </w:tabs>
        <w:spacing w:before="28"/>
        <w:ind w:hanging="710"/>
        <w:rPr>
          <w:rFonts w:asciiTheme="minorHAnsi" w:hAnsiTheme="minorHAnsi" w:cstheme="minorHAnsi"/>
          <w:sz w:val="18"/>
        </w:rPr>
      </w:pPr>
      <w:r w:rsidRPr="00650FD4">
        <w:rPr>
          <w:rFonts w:asciiTheme="minorHAnsi" w:hAnsiTheme="minorHAnsi" w:cstheme="minorHAnsi"/>
          <w:sz w:val="18"/>
        </w:rPr>
        <w:t>Assessment of financial resources management</w:t>
      </w:r>
      <w:r w:rsidRPr="00650FD4">
        <w:rPr>
          <w:rFonts w:asciiTheme="minorHAnsi" w:hAnsiTheme="minorHAnsi" w:cstheme="minorHAnsi"/>
          <w:sz w:val="18"/>
        </w:rPr>
        <w:tab/>
        <w:t>19</w:t>
      </w:r>
    </w:p>
    <w:p w14:paraId="4C4C83F7" w14:textId="77777777" w:rsidR="00E1198C" w:rsidRPr="00650FD4" w:rsidRDefault="00000000">
      <w:pPr>
        <w:pStyle w:val="Akapitzlist"/>
        <w:numPr>
          <w:ilvl w:val="0"/>
          <w:numId w:val="44"/>
        </w:numPr>
        <w:tabs>
          <w:tab w:val="left" w:pos="1400"/>
          <w:tab w:val="right" w:leader="dot" w:pos="10793"/>
        </w:tabs>
        <w:spacing w:before="163"/>
        <w:ind w:hanging="890"/>
        <w:rPr>
          <w:rFonts w:asciiTheme="minorHAnsi" w:hAnsiTheme="minorHAnsi" w:cstheme="minorHAnsi"/>
          <w:sz w:val="18"/>
        </w:rPr>
      </w:pPr>
      <w:r w:rsidRPr="00650FD4">
        <w:rPr>
          <w:rFonts w:asciiTheme="minorHAnsi" w:hAnsiTheme="minorHAnsi" w:cstheme="minorHAnsi"/>
          <w:sz w:val="18"/>
        </w:rPr>
        <w:t>Strategy and development prospects for Celon Pharma S.A.</w:t>
      </w:r>
      <w:r w:rsidRPr="00650FD4">
        <w:rPr>
          <w:rFonts w:asciiTheme="minorHAnsi" w:hAnsiTheme="minorHAnsi" w:cstheme="minorHAnsi"/>
          <w:sz w:val="18"/>
        </w:rPr>
        <w:tab/>
        <w:t>19</w:t>
      </w:r>
    </w:p>
    <w:p w14:paraId="2E6F7B17" w14:textId="77777777" w:rsidR="00E1198C" w:rsidRPr="00650FD4" w:rsidRDefault="00000000">
      <w:pPr>
        <w:pStyle w:val="Akapitzlist"/>
        <w:numPr>
          <w:ilvl w:val="1"/>
          <w:numId w:val="44"/>
        </w:numPr>
        <w:tabs>
          <w:tab w:val="left" w:pos="1400"/>
          <w:tab w:val="right" w:leader="dot" w:pos="10788"/>
        </w:tabs>
        <w:spacing w:before="129"/>
        <w:ind w:hanging="710"/>
        <w:rPr>
          <w:rFonts w:asciiTheme="minorHAnsi" w:hAnsiTheme="minorHAnsi" w:cstheme="minorHAnsi"/>
          <w:sz w:val="18"/>
        </w:rPr>
      </w:pPr>
      <w:r w:rsidRPr="00650FD4">
        <w:rPr>
          <w:rFonts w:asciiTheme="minorHAnsi" w:hAnsiTheme="minorHAnsi" w:cstheme="minorHAnsi"/>
          <w:sz w:val="18"/>
        </w:rPr>
        <w:t>Assumptions of the Company’s development strategy and its implementation in 2024</w:t>
      </w:r>
      <w:r w:rsidRPr="00650FD4">
        <w:rPr>
          <w:rFonts w:asciiTheme="minorHAnsi" w:hAnsiTheme="minorHAnsi" w:cstheme="minorHAnsi"/>
          <w:sz w:val="18"/>
        </w:rPr>
        <w:tab/>
        <w:t>19</w:t>
      </w:r>
    </w:p>
    <w:p w14:paraId="05D1EB77" w14:textId="77777777" w:rsidR="00E1198C" w:rsidRPr="00650FD4" w:rsidRDefault="00000000">
      <w:pPr>
        <w:pStyle w:val="Akapitzlist"/>
        <w:numPr>
          <w:ilvl w:val="1"/>
          <w:numId w:val="44"/>
        </w:numPr>
        <w:tabs>
          <w:tab w:val="left" w:pos="1400"/>
          <w:tab w:val="right" w:leader="dot" w:pos="10788"/>
        </w:tabs>
        <w:spacing w:before="28"/>
        <w:ind w:hanging="710"/>
        <w:rPr>
          <w:rFonts w:asciiTheme="minorHAnsi" w:hAnsiTheme="minorHAnsi" w:cstheme="minorHAnsi"/>
          <w:sz w:val="18"/>
        </w:rPr>
      </w:pPr>
      <w:r w:rsidRPr="00650FD4">
        <w:rPr>
          <w:rFonts w:asciiTheme="minorHAnsi" w:hAnsiTheme="minorHAnsi" w:cstheme="minorHAnsi"/>
          <w:sz w:val="18"/>
        </w:rPr>
        <w:t>Main domestic and foreign investments and capital investments</w:t>
      </w:r>
      <w:r w:rsidRPr="00650FD4">
        <w:rPr>
          <w:rFonts w:asciiTheme="minorHAnsi" w:hAnsiTheme="minorHAnsi" w:cstheme="minorHAnsi"/>
          <w:sz w:val="18"/>
        </w:rPr>
        <w:tab/>
        <w:t>20</w:t>
      </w:r>
    </w:p>
    <w:p w14:paraId="6142D9FE" w14:textId="77777777" w:rsidR="00E1198C" w:rsidRPr="00650FD4" w:rsidRDefault="00000000">
      <w:pPr>
        <w:pStyle w:val="Akapitzlist"/>
        <w:numPr>
          <w:ilvl w:val="1"/>
          <w:numId w:val="44"/>
        </w:numPr>
        <w:tabs>
          <w:tab w:val="left" w:pos="1400"/>
          <w:tab w:val="left" w:leader="dot" w:pos="10603"/>
        </w:tabs>
        <w:spacing w:before="39"/>
        <w:ind w:hanging="710"/>
        <w:rPr>
          <w:rFonts w:asciiTheme="minorHAnsi" w:hAnsiTheme="minorHAnsi" w:cstheme="minorHAnsi"/>
          <w:sz w:val="18"/>
        </w:rPr>
      </w:pPr>
      <w:r w:rsidRPr="00650FD4">
        <w:rPr>
          <w:rFonts w:asciiTheme="minorHAnsi" w:hAnsiTheme="minorHAnsi" w:cstheme="minorHAnsi"/>
          <w:sz w:val="18"/>
        </w:rPr>
        <w:t>Prospects for Celon Pharma S.A. and factors significant for its development</w:t>
      </w:r>
      <w:r w:rsidRPr="00650FD4">
        <w:rPr>
          <w:rFonts w:asciiTheme="minorHAnsi" w:hAnsiTheme="minorHAnsi" w:cstheme="minorHAnsi"/>
          <w:sz w:val="18"/>
        </w:rPr>
        <w:tab/>
        <w:t>20</w:t>
      </w:r>
    </w:p>
    <w:p w14:paraId="5CB1D417" w14:textId="77777777" w:rsidR="00E1198C" w:rsidRPr="00650FD4" w:rsidRDefault="00000000">
      <w:pPr>
        <w:pStyle w:val="Akapitzlist"/>
        <w:numPr>
          <w:ilvl w:val="2"/>
          <w:numId w:val="44"/>
        </w:numPr>
        <w:tabs>
          <w:tab w:val="left" w:pos="1783"/>
          <w:tab w:val="left" w:leader="dot" w:pos="10598"/>
        </w:tabs>
        <w:spacing w:before="29"/>
        <w:rPr>
          <w:rFonts w:asciiTheme="minorHAnsi" w:hAnsiTheme="minorHAnsi" w:cstheme="minorHAnsi"/>
          <w:i/>
          <w:sz w:val="18"/>
        </w:rPr>
      </w:pPr>
      <w:r w:rsidRPr="00650FD4">
        <w:rPr>
          <w:rFonts w:asciiTheme="minorHAnsi" w:hAnsiTheme="minorHAnsi" w:cstheme="minorHAnsi"/>
          <w:i/>
          <w:iCs/>
          <w:sz w:val="18"/>
        </w:rPr>
        <w:t>Factors impacting generic drug segment development</w:t>
      </w:r>
      <w:r w:rsidRPr="00650FD4">
        <w:rPr>
          <w:rFonts w:asciiTheme="minorHAnsi" w:hAnsiTheme="minorHAnsi" w:cstheme="minorHAnsi"/>
          <w:i/>
          <w:iCs/>
          <w:sz w:val="18"/>
        </w:rPr>
        <w:tab/>
        <w:t>17</w:t>
      </w:r>
    </w:p>
    <w:p w14:paraId="2D2268FF" w14:textId="77777777" w:rsidR="00E1198C" w:rsidRPr="00650FD4" w:rsidRDefault="00000000">
      <w:pPr>
        <w:pStyle w:val="Akapitzlist"/>
        <w:numPr>
          <w:ilvl w:val="2"/>
          <w:numId w:val="44"/>
        </w:numPr>
        <w:tabs>
          <w:tab w:val="left" w:pos="1783"/>
          <w:tab w:val="left" w:leader="dot" w:pos="10599"/>
        </w:tabs>
        <w:spacing w:before="28"/>
        <w:rPr>
          <w:rFonts w:asciiTheme="minorHAnsi" w:hAnsiTheme="minorHAnsi" w:cstheme="minorHAnsi"/>
          <w:i/>
          <w:sz w:val="18"/>
        </w:rPr>
      </w:pPr>
      <w:r w:rsidRPr="00650FD4">
        <w:rPr>
          <w:rFonts w:asciiTheme="minorHAnsi" w:hAnsiTheme="minorHAnsi" w:cstheme="minorHAnsi"/>
          <w:i/>
          <w:iCs/>
          <w:sz w:val="18"/>
        </w:rPr>
        <w:t>Factors impacting innovative drug project development</w:t>
      </w:r>
      <w:r w:rsidRPr="00650FD4">
        <w:rPr>
          <w:rFonts w:asciiTheme="minorHAnsi" w:hAnsiTheme="minorHAnsi" w:cstheme="minorHAnsi"/>
          <w:i/>
          <w:iCs/>
          <w:sz w:val="18"/>
        </w:rPr>
        <w:tab/>
        <w:t>17</w:t>
      </w:r>
    </w:p>
    <w:p w14:paraId="1C22D508" w14:textId="77777777" w:rsidR="00E1198C" w:rsidRPr="00650FD4" w:rsidRDefault="00000000">
      <w:pPr>
        <w:pStyle w:val="Akapitzlist"/>
        <w:numPr>
          <w:ilvl w:val="1"/>
          <w:numId w:val="44"/>
        </w:numPr>
        <w:tabs>
          <w:tab w:val="left" w:pos="1400"/>
          <w:tab w:val="left" w:leader="dot" w:pos="10602"/>
        </w:tabs>
        <w:spacing w:before="38"/>
        <w:ind w:hanging="710"/>
        <w:rPr>
          <w:rFonts w:asciiTheme="minorHAnsi" w:hAnsiTheme="minorHAnsi" w:cstheme="minorHAnsi"/>
          <w:sz w:val="18"/>
        </w:rPr>
      </w:pPr>
      <w:r w:rsidRPr="00650FD4">
        <w:rPr>
          <w:rFonts w:asciiTheme="minorHAnsi" w:hAnsiTheme="minorHAnsi" w:cstheme="minorHAnsi"/>
          <w:sz w:val="18"/>
        </w:rPr>
        <w:t>Feasibility analysis of investment projects</w:t>
      </w:r>
      <w:r w:rsidRPr="00650FD4">
        <w:rPr>
          <w:rFonts w:asciiTheme="minorHAnsi" w:hAnsiTheme="minorHAnsi" w:cstheme="minorHAnsi"/>
          <w:sz w:val="18"/>
        </w:rPr>
        <w:tab/>
        <w:t>21</w:t>
      </w:r>
    </w:p>
    <w:p w14:paraId="7F5357F0" w14:textId="77777777" w:rsidR="00E1198C" w:rsidRPr="00650FD4" w:rsidRDefault="00000000">
      <w:pPr>
        <w:pStyle w:val="Akapitzlist"/>
        <w:numPr>
          <w:ilvl w:val="0"/>
          <w:numId w:val="44"/>
        </w:numPr>
        <w:tabs>
          <w:tab w:val="left" w:pos="1400"/>
          <w:tab w:val="left" w:leader="dot" w:pos="10610"/>
        </w:tabs>
        <w:spacing w:before="152"/>
        <w:ind w:hanging="890"/>
        <w:rPr>
          <w:rFonts w:asciiTheme="minorHAnsi" w:hAnsiTheme="minorHAnsi" w:cstheme="minorHAnsi"/>
          <w:sz w:val="18"/>
        </w:rPr>
      </w:pPr>
      <w:r w:rsidRPr="00650FD4">
        <w:rPr>
          <w:rFonts w:asciiTheme="minorHAnsi" w:hAnsiTheme="minorHAnsi" w:cstheme="minorHAnsi"/>
          <w:sz w:val="18"/>
        </w:rPr>
        <w:t>Risk factors and threats to the activities of Celon Pharma S.A.</w:t>
      </w:r>
      <w:r w:rsidRPr="00650FD4">
        <w:rPr>
          <w:rFonts w:asciiTheme="minorHAnsi" w:hAnsiTheme="minorHAnsi" w:cstheme="minorHAnsi"/>
          <w:sz w:val="18"/>
        </w:rPr>
        <w:tab/>
        <w:t>21</w:t>
      </w:r>
    </w:p>
    <w:p w14:paraId="3B618FB1" w14:textId="77777777" w:rsidR="00E1198C" w:rsidRPr="00650FD4" w:rsidRDefault="00000000">
      <w:pPr>
        <w:pStyle w:val="Akapitzlist"/>
        <w:numPr>
          <w:ilvl w:val="0"/>
          <w:numId w:val="44"/>
        </w:numPr>
        <w:tabs>
          <w:tab w:val="left" w:pos="1400"/>
          <w:tab w:val="left" w:leader="dot" w:pos="10608"/>
        </w:tabs>
        <w:spacing w:before="151"/>
        <w:ind w:hanging="890"/>
        <w:rPr>
          <w:rFonts w:asciiTheme="minorHAnsi" w:hAnsiTheme="minorHAnsi" w:cstheme="minorHAnsi"/>
          <w:sz w:val="18"/>
        </w:rPr>
      </w:pPr>
      <w:r w:rsidRPr="00650FD4">
        <w:rPr>
          <w:rFonts w:asciiTheme="minorHAnsi" w:hAnsiTheme="minorHAnsi" w:cstheme="minorHAnsi"/>
          <w:sz w:val="18"/>
        </w:rPr>
        <w:t>Corporate governance statement</w:t>
      </w:r>
      <w:r w:rsidRPr="00650FD4">
        <w:rPr>
          <w:rFonts w:asciiTheme="minorHAnsi" w:hAnsiTheme="minorHAnsi" w:cstheme="minorHAnsi"/>
          <w:sz w:val="18"/>
        </w:rPr>
        <w:tab/>
        <w:t>31</w:t>
      </w:r>
    </w:p>
    <w:p w14:paraId="28D25CBB" w14:textId="77777777" w:rsidR="00E1198C" w:rsidRPr="00650FD4" w:rsidRDefault="00000000">
      <w:pPr>
        <w:pStyle w:val="Akapitzlist"/>
        <w:numPr>
          <w:ilvl w:val="1"/>
          <w:numId w:val="44"/>
        </w:numPr>
        <w:tabs>
          <w:tab w:val="left" w:pos="1400"/>
          <w:tab w:val="left" w:leader="dot" w:pos="10610"/>
        </w:tabs>
        <w:spacing w:before="141"/>
        <w:ind w:hanging="710"/>
        <w:rPr>
          <w:rFonts w:asciiTheme="minorHAnsi" w:hAnsiTheme="minorHAnsi" w:cstheme="minorHAnsi"/>
          <w:sz w:val="18"/>
        </w:rPr>
      </w:pPr>
      <w:r w:rsidRPr="00650FD4">
        <w:rPr>
          <w:rFonts w:asciiTheme="minorHAnsi" w:hAnsiTheme="minorHAnsi" w:cstheme="minorHAnsi"/>
          <w:sz w:val="18"/>
        </w:rPr>
        <w:t>Corporate governance principles applied</w:t>
      </w:r>
      <w:r w:rsidRPr="00650FD4">
        <w:rPr>
          <w:rFonts w:asciiTheme="minorHAnsi" w:hAnsiTheme="minorHAnsi" w:cstheme="minorHAnsi"/>
          <w:sz w:val="18"/>
        </w:rPr>
        <w:tab/>
        <w:t>31</w:t>
      </w:r>
    </w:p>
    <w:p w14:paraId="293C4D33" w14:textId="77777777" w:rsidR="00E1198C" w:rsidRPr="00650FD4" w:rsidRDefault="00000000">
      <w:pPr>
        <w:pStyle w:val="Akapitzlist"/>
        <w:numPr>
          <w:ilvl w:val="1"/>
          <w:numId w:val="44"/>
        </w:numPr>
        <w:tabs>
          <w:tab w:val="left" w:pos="1400"/>
          <w:tab w:val="left" w:leader="dot" w:pos="10601"/>
        </w:tabs>
        <w:spacing w:before="28"/>
        <w:ind w:hanging="710"/>
        <w:rPr>
          <w:rFonts w:asciiTheme="minorHAnsi" w:hAnsiTheme="minorHAnsi" w:cstheme="minorHAnsi"/>
          <w:sz w:val="18"/>
        </w:rPr>
      </w:pPr>
      <w:r w:rsidRPr="00650FD4">
        <w:rPr>
          <w:rFonts w:asciiTheme="minorHAnsi" w:hAnsiTheme="minorHAnsi" w:cstheme="minorHAnsi"/>
          <w:sz w:val="18"/>
        </w:rPr>
        <w:t>Share capital and shareholders of the Company holding significant shares</w:t>
      </w:r>
      <w:r w:rsidRPr="00650FD4">
        <w:rPr>
          <w:rFonts w:asciiTheme="minorHAnsi" w:hAnsiTheme="minorHAnsi" w:cstheme="minorHAnsi"/>
          <w:sz w:val="18"/>
        </w:rPr>
        <w:tab/>
        <w:t>32</w:t>
      </w:r>
    </w:p>
    <w:p w14:paraId="096A5A26" w14:textId="77777777" w:rsidR="00E1198C" w:rsidRPr="00650FD4" w:rsidRDefault="00000000">
      <w:pPr>
        <w:pStyle w:val="Akapitzlist"/>
        <w:numPr>
          <w:ilvl w:val="1"/>
          <w:numId w:val="44"/>
        </w:numPr>
        <w:tabs>
          <w:tab w:val="left" w:pos="1400"/>
          <w:tab w:val="left" w:leader="dot" w:pos="10602"/>
        </w:tabs>
        <w:spacing w:before="39"/>
        <w:ind w:hanging="710"/>
        <w:rPr>
          <w:rFonts w:asciiTheme="minorHAnsi" w:hAnsiTheme="minorHAnsi" w:cstheme="minorHAnsi"/>
          <w:sz w:val="18"/>
        </w:rPr>
      </w:pPr>
      <w:r w:rsidRPr="00650FD4">
        <w:rPr>
          <w:rFonts w:asciiTheme="minorHAnsi" w:hAnsiTheme="minorHAnsi" w:cstheme="minorHAnsi"/>
          <w:sz w:val="18"/>
        </w:rPr>
        <w:t>Ownership of the Company’s shares by members of the Company’s bodies</w:t>
      </w:r>
      <w:r w:rsidRPr="00650FD4">
        <w:rPr>
          <w:rFonts w:asciiTheme="minorHAnsi" w:hAnsiTheme="minorHAnsi" w:cstheme="minorHAnsi"/>
          <w:sz w:val="18"/>
        </w:rPr>
        <w:tab/>
        <w:t>34</w:t>
      </w:r>
    </w:p>
    <w:p w14:paraId="50111542" w14:textId="77777777" w:rsidR="00E1198C" w:rsidRPr="00650FD4" w:rsidRDefault="00000000">
      <w:pPr>
        <w:pStyle w:val="Akapitzlist"/>
        <w:numPr>
          <w:ilvl w:val="1"/>
          <w:numId w:val="44"/>
        </w:numPr>
        <w:tabs>
          <w:tab w:val="left" w:pos="1399"/>
          <w:tab w:val="left" w:leader="dot" w:pos="10600"/>
        </w:tabs>
        <w:spacing w:before="27" w:line="271" w:lineRule="auto"/>
        <w:ind w:left="1399" w:right="493" w:hanging="709"/>
        <w:rPr>
          <w:rFonts w:asciiTheme="minorHAnsi" w:hAnsiTheme="minorHAnsi" w:cstheme="minorHAnsi"/>
          <w:sz w:val="18"/>
        </w:rPr>
      </w:pPr>
      <w:r w:rsidRPr="00650FD4">
        <w:rPr>
          <w:rFonts w:asciiTheme="minorHAnsi" w:hAnsiTheme="minorHAnsi" w:cstheme="minorHAnsi"/>
          <w:sz w:val="18"/>
        </w:rPr>
        <w:t>Special control powers, restrictions on the exercise of voting rights and the transfer of securities</w:t>
      </w:r>
      <w:r w:rsidRPr="00650FD4">
        <w:rPr>
          <w:rFonts w:asciiTheme="minorHAnsi" w:hAnsiTheme="minorHAnsi" w:cstheme="minorHAnsi"/>
          <w:sz w:val="18"/>
        </w:rPr>
        <w:tab/>
        <w:t>34</w:t>
      </w:r>
    </w:p>
    <w:p w14:paraId="3A695A52" w14:textId="77777777" w:rsidR="00E1198C" w:rsidRPr="00650FD4" w:rsidRDefault="00000000">
      <w:pPr>
        <w:pStyle w:val="Akapitzlist"/>
        <w:numPr>
          <w:ilvl w:val="1"/>
          <w:numId w:val="44"/>
        </w:numPr>
        <w:tabs>
          <w:tab w:val="left" w:pos="1400"/>
          <w:tab w:val="left" w:leader="dot" w:pos="10602"/>
        </w:tabs>
        <w:spacing w:before="10"/>
        <w:ind w:hanging="710"/>
        <w:rPr>
          <w:rFonts w:asciiTheme="minorHAnsi" w:hAnsiTheme="minorHAnsi" w:cstheme="minorHAnsi"/>
          <w:sz w:val="18"/>
        </w:rPr>
      </w:pPr>
      <w:r w:rsidRPr="00650FD4">
        <w:rPr>
          <w:rFonts w:asciiTheme="minorHAnsi" w:hAnsiTheme="minorHAnsi" w:cstheme="minorHAnsi"/>
          <w:sz w:val="18"/>
        </w:rPr>
        <w:t>The Management Board of Celon Pharma S.A.</w:t>
      </w:r>
    </w:p>
    <w:p w14:paraId="76BAD15B" w14:textId="77777777" w:rsidR="00E1198C" w:rsidRPr="00650FD4" w:rsidRDefault="00000000">
      <w:pPr>
        <w:pStyle w:val="Akapitzlist"/>
        <w:numPr>
          <w:ilvl w:val="2"/>
          <w:numId w:val="44"/>
        </w:numPr>
        <w:tabs>
          <w:tab w:val="left" w:pos="1783"/>
          <w:tab w:val="left" w:leader="dot" w:pos="10599"/>
        </w:tabs>
        <w:spacing w:before="29"/>
        <w:rPr>
          <w:rFonts w:asciiTheme="minorHAnsi" w:hAnsiTheme="minorHAnsi" w:cstheme="minorHAnsi"/>
          <w:i/>
          <w:sz w:val="18"/>
        </w:rPr>
      </w:pPr>
      <w:r w:rsidRPr="00650FD4">
        <w:rPr>
          <w:rFonts w:asciiTheme="minorHAnsi" w:hAnsiTheme="minorHAnsi" w:cstheme="minorHAnsi"/>
          <w:i/>
          <w:iCs/>
          <w:sz w:val="18"/>
        </w:rPr>
        <w:t>Members of the Board</w:t>
      </w:r>
      <w:r w:rsidRPr="00650FD4">
        <w:rPr>
          <w:rFonts w:asciiTheme="minorHAnsi" w:hAnsiTheme="minorHAnsi" w:cstheme="minorHAnsi"/>
          <w:i/>
          <w:iCs/>
          <w:sz w:val="18"/>
        </w:rPr>
        <w:tab/>
        <w:t>35</w:t>
      </w:r>
    </w:p>
    <w:p w14:paraId="77FE7A87" w14:textId="77777777" w:rsidR="00E1198C" w:rsidRPr="00650FD4" w:rsidRDefault="00000000">
      <w:pPr>
        <w:pStyle w:val="Akapitzlist"/>
        <w:numPr>
          <w:ilvl w:val="2"/>
          <w:numId w:val="44"/>
        </w:numPr>
        <w:tabs>
          <w:tab w:val="left" w:pos="1783"/>
          <w:tab w:val="right" w:leader="dot" w:pos="10784"/>
        </w:tabs>
        <w:spacing w:before="39"/>
        <w:rPr>
          <w:rFonts w:asciiTheme="minorHAnsi" w:hAnsiTheme="minorHAnsi" w:cstheme="minorHAnsi"/>
          <w:i/>
          <w:sz w:val="18"/>
        </w:rPr>
      </w:pPr>
      <w:r w:rsidRPr="00650FD4">
        <w:rPr>
          <w:rFonts w:asciiTheme="minorHAnsi" w:hAnsiTheme="minorHAnsi" w:cstheme="minorHAnsi"/>
          <w:i/>
          <w:iCs/>
          <w:sz w:val="18"/>
        </w:rPr>
        <w:t>Principles of appointing and dismissing Members</w:t>
      </w:r>
      <w:r w:rsidRPr="00650FD4">
        <w:rPr>
          <w:rFonts w:asciiTheme="minorHAnsi" w:hAnsiTheme="minorHAnsi" w:cstheme="minorHAnsi"/>
          <w:i/>
          <w:iCs/>
          <w:sz w:val="18"/>
        </w:rPr>
        <w:tab/>
        <w:t>35</w:t>
      </w:r>
    </w:p>
    <w:p w14:paraId="78AF9197" w14:textId="77777777" w:rsidR="00E1198C" w:rsidRPr="00650FD4" w:rsidRDefault="00000000">
      <w:pPr>
        <w:pStyle w:val="Akapitzlist"/>
        <w:numPr>
          <w:ilvl w:val="2"/>
          <w:numId w:val="44"/>
        </w:numPr>
        <w:tabs>
          <w:tab w:val="left" w:pos="1783"/>
          <w:tab w:val="right" w:leader="dot" w:pos="10781"/>
        </w:tabs>
        <w:spacing w:before="28"/>
        <w:rPr>
          <w:rFonts w:asciiTheme="minorHAnsi" w:hAnsiTheme="minorHAnsi" w:cstheme="minorHAnsi"/>
          <w:i/>
          <w:sz w:val="18"/>
        </w:rPr>
      </w:pPr>
      <w:r w:rsidRPr="00650FD4">
        <w:rPr>
          <w:rFonts w:asciiTheme="minorHAnsi" w:hAnsiTheme="minorHAnsi" w:cstheme="minorHAnsi"/>
          <w:i/>
          <w:iCs/>
          <w:sz w:val="18"/>
        </w:rPr>
        <w:t>Description of the operation and powers of the body</w:t>
      </w:r>
      <w:r w:rsidRPr="00650FD4">
        <w:rPr>
          <w:rFonts w:asciiTheme="minorHAnsi" w:hAnsiTheme="minorHAnsi" w:cstheme="minorHAnsi"/>
          <w:i/>
          <w:iCs/>
          <w:sz w:val="18"/>
        </w:rPr>
        <w:tab/>
        <w:t>35</w:t>
      </w:r>
    </w:p>
    <w:p w14:paraId="02713423" w14:textId="77777777" w:rsidR="00E1198C" w:rsidRPr="00650FD4" w:rsidRDefault="00000000">
      <w:pPr>
        <w:pStyle w:val="Akapitzlist"/>
        <w:numPr>
          <w:ilvl w:val="1"/>
          <w:numId w:val="44"/>
        </w:numPr>
        <w:tabs>
          <w:tab w:val="left" w:pos="1400"/>
          <w:tab w:val="right" w:leader="dot" w:pos="10784"/>
        </w:tabs>
        <w:spacing w:before="38"/>
        <w:ind w:hanging="710"/>
        <w:rPr>
          <w:rFonts w:asciiTheme="minorHAnsi" w:hAnsiTheme="minorHAnsi" w:cstheme="minorHAnsi"/>
          <w:sz w:val="18"/>
        </w:rPr>
      </w:pPr>
      <w:r w:rsidRPr="00650FD4">
        <w:rPr>
          <w:rFonts w:asciiTheme="minorHAnsi" w:hAnsiTheme="minorHAnsi" w:cstheme="minorHAnsi"/>
          <w:sz w:val="18"/>
        </w:rPr>
        <w:t>Supervisory Board of Celon Pharma S.A.</w:t>
      </w:r>
      <w:r w:rsidRPr="00650FD4">
        <w:rPr>
          <w:rFonts w:asciiTheme="minorHAnsi" w:hAnsiTheme="minorHAnsi" w:cstheme="minorHAnsi"/>
          <w:sz w:val="18"/>
        </w:rPr>
        <w:tab/>
        <w:t>35</w:t>
      </w:r>
    </w:p>
    <w:p w14:paraId="4BE9D3F1" w14:textId="77777777" w:rsidR="00E1198C" w:rsidRPr="00650FD4" w:rsidRDefault="00000000">
      <w:pPr>
        <w:pStyle w:val="Akapitzlist"/>
        <w:numPr>
          <w:ilvl w:val="2"/>
          <w:numId w:val="44"/>
        </w:numPr>
        <w:tabs>
          <w:tab w:val="left" w:pos="1783"/>
          <w:tab w:val="right" w:leader="dot" w:pos="10782"/>
        </w:tabs>
        <w:spacing w:before="29"/>
        <w:rPr>
          <w:rFonts w:asciiTheme="minorHAnsi" w:hAnsiTheme="minorHAnsi" w:cstheme="minorHAnsi"/>
          <w:i/>
          <w:sz w:val="18"/>
        </w:rPr>
      </w:pPr>
      <w:r w:rsidRPr="00650FD4">
        <w:rPr>
          <w:rFonts w:asciiTheme="minorHAnsi" w:hAnsiTheme="minorHAnsi" w:cstheme="minorHAnsi"/>
          <w:i/>
          <w:iCs/>
          <w:sz w:val="18"/>
        </w:rPr>
        <w:t>Members of the Board</w:t>
      </w:r>
      <w:r w:rsidRPr="00650FD4">
        <w:rPr>
          <w:rFonts w:asciiTheme="minorHAnsi" w:hAnsiTheme="minorHAnsi" w:cstheme="minorHAnsi"/>
          <w:i/>
          <w:iCs/>
          <w:sz w:val="18"/>
        </w:rPr>
        <w:tab/>
        <w:t>35</w:t>
      </w:r>
    </w:p>
    <w:p w14:paraId="6474AB5A" w14:textId="77777777" w:rsidR="00E1198C" w:rsidRPr="00650FD4" w:rsidRDefault="00000000">
      <w:pPr>
        <w:pStyle w:val="Akapitzlist"/>
        <w:numPr>
          <w:ilvl w:val="2"/>
          <w:numId w:val="44"/>
        </w:numPr>
        <w:tabs>
          <w:tab w:val="left" w:pos="1783"/>
          <w:tab w:val="right" w:leader="dot" w:pos="10784"/>
        </w:tabs>
        <w:spacing w:before="28"/>
        <w:rPr>
          <w:rFonts w:asciiTheme="minorHAnsi" w:hAnsiTheme="minorHAnsi" w:cstheme="minorHAnsi"/>
          <w:i/>
          <w:sz w:val="18"/>
        </w:rPr>
      </w:pPr>
      <w:r w:rsidRPr="00650FD4">
        <w:rPr>
          <w:rFonts w:asciiTheme="minorHAnsi" w:hAnsiTheme="minorHAnsi" w:cstheme="minorHAnsi"/>
          <w:i/>
          <w:iCs/>
          <w:sz w:val="18"/>
        </w:rPr>
        <w:t>Principles of appointing and dismissing Members</w:t>
      </w:r>
      <w:r w:rsidRPr="00650FD4">
        <w:rPr>
          <w:rFonts w:asciiTheme="minorHAnsi" w:hAnsiTheme="minorHAnsi" w:cstheme="minorHAnsi"/>
          <w:i/>
          <w:iCs/>
          <w:sz w:val="18"/>
        </w:rPr>
        <w:tab/>
        <w:t>36</w:t>
      </w:r>
    </w:p>
    <w:p w14:paraId="6ADE94A1" w14:textId="77777777" w:rsidR="00E1198C" w:rsidRPr="00650FD4" w:rsidRDefault="00000000">
      <w:pPr>
        <w:pStyle w:val="Akapitzlist"/>
        <w:numPr>
          <w:ilvl w:val="2"/>
          <w:numId w:val="44"/>
        </w:numPr>
        <w:tabs>
          <w:tab w:val="left" w:pos="1783"/>
          <w:tab w:val="right" w:leader="dot" w:pos="10781"/>
        </w:tabs>
        <w:spacing w:before="39"/>
        <w:rPr>
          <w:rFonts w:asciiTheme="minorHAnsi" w:hAnsiTheme="minorHAnsi" w:cstheme="minorHAnsi"/>
          <w:i/>
          <w:sz w:val="18"/>
        </w:rPr>
      </w:pPr>
      <w:r w:rsidRPr="00650FD4">
        <w:rPr>
          <w:rFonts w:asciiTheme="minorHAnsi" w:hAnsiTheme="minorHAnsi" w:cstheme="minorHAnsi"/>
          <w:i/>
          <w:iCs/>
          <w:sz w:val="18"/>
        </w:rPr>
        <w:t>Description of the operation and powers of the body</w:t>
      </w:r>
      <w:r w:rsidRPr="00650FD4">
        <w:rPr>
          <w:rFonts w:asciiTheme="minorHAnsi" w:hAnsiTheme="minorHAnsi" w:cstheme="minorHAnsi"/>
          <w:i/>
          <w:iCs/>
          <w:sz w:val="18"/>
        </w:rPr>
        <w:tab/>
        <w:t>36</w:t>
      </w:r>
    </w:p>
    <w:p w14:paraId="77F8C4C5" w14:textId="77777777" w:rsidR="00E1198C" w:rsidRPr="00650FD4" w:rsidRDefault="00000000">
      <w:pPr>
        <w:pStyle w:val="Akapitzlist"/>
        <w:numPr>
          <w:ilvl w:val="2"/>
          <w:numId w:val="44"/>
        </w:numPr>
        <w:tabs>
          <w:tab w:val="left" w:pos="1783"/>
          <w:tab w:val="right" w:leader="dot" w:pos="10784"/>
        </w:tabs>
        <w:spacing w:before="28"/>
        <w:rPr>
          <w:rFonts w:asciiTheme="minorHAnsi" w:hAnsiTheme="minorHAnsi" w:cstheme="minorHAnsi"/>
          <w:i/>
          <w:sz w:val="18"/>
        </w:rPr>
      </w:pPr>
      <w:r w:rsidRPr="00650FD4">
        <w:rPr>
          <w:rFonts w:asciiTheme="minorHAnsi" w:hAnsiTheme="minorHAnsi" w:cstheme="minorHAnsi"/>
          <w:i/>
          <w:iCs/>
          <w:sz w:val="18"/>
        </w:rPr>
        <w:t>Audit Committee of the Supervisory Board</w:t>
      </w:r>
      <w:r w:rsidRPr="00650FD4">
        <w:rPr>
          <w:rFonts w:asciiTheme="minorHAnsi" w:hAnsiTheme="minorHAnsi" w:cstheme="minorHAnsi"/>
          <w:i/>
          <w:iCs/>
          <w:sz w:val="18"/>
        </w:rPr>
        <w:tab/>
        <w:t>37</w:t>
      </w:r>
    </w:p>
    <w:p w14:paraId="1DA1A325" w14:textId="77777777" w:rsidR="00E1198C" w:rsidRPr="00650FD4" w:rsidRDefault="00E1198C">
      <w:pPr>
        <w:rPr>
          <w:rFonts w:asciiTheme="minorHAnsi" w:hAnsiTheme="minorHAnsi" w:cstheme="minorHAnsi"/>
          <w:sz w:val="18"/>
        </w:rPr>
        <w:sectPr w:rsidR="00E1198C" w:rsidRPr="00650FD4">
          <w:pgSz w:w="11900" w:h="16840"/>
          <w:pgMar w:top="1200" w:right="320" w:bottom="920" w:left="300" w:header="0" w:footer="726" w:gutter="0"/>
          <w:cols w:space="708"/>
        </w:sectPr>
      </w:pPr>
    </w:p>
    <w:p w14:paraId="5CFC735E" w14:textId="77777777" w:rsidR="00E1198C" w:rsidRPr="00650FD4" w:rsidRDefault="00000000">
      <w:pPr>
        <w:pStyle w:val="Akapitzlist"/>
        <w:numPr>
          <w:ilvl w:val="2"/>
          <w:numId w:val="44"/>
        </w:numPr>
        <w:tabs>
          <w:tab w:val="left" w:pos="1783"/>
          <w:tab w:val="left" w:leader="dot" w:pos="10604"/>
        </w:tabs>
        <w:spacing w:before="42"/>
        <w:rPr>
          <w:rFonts w:asciiTheme="minorHAnsi" w:hAnsiTheme="minorHAnsi" w:cstheme="minorHAnsi"/>
          <w:i/>
          <w:sz w:val="18"/>
        </w:rPr>
      </w:pPr>
      <w:r w:rsidRPr="00650FD4">
        <w:rPr>
          <w:rFonts w:asciiTheme="minorHAnsi" w:hAnsiTheme="minorHAnsi" w:cstheme="minorHAnsi"/>
          <w:i/>
          <w:iCs/>
          <w:sz w:val="18"/>
        </w:rPr>
        <w:lastRenderedPageBreak/>
        <w:t xml:space="preserve">The audit firm selection process </w:t>
      </w:r>
      <w:r w:rsidRPr="00650FD4">
        <w:rPr>
          <w:rFonts w:asciiTheme="minorHAnsi" w:hAnsiTheme="minorHAnsi" w:cstheme="minorHAnsi"/>
          <w:i/>
          <w:iCs/>
          <w:sz w:val="18"/>
        </w:rPr>
        <w:tab/>
        <w:t>39</w:t>
      </w:r>
    </w:p>
    <w:p w14:paraId="5BE2CE70" w14:textId="77777777" w:rsidR="00E1198C" w:rsidRPr="00650FD4" w:rsidRDefault="00000000">
      <w:pPr>
        <w:pStyle w:val="Akapitzlist"/>
        <w:numPr>
          <w:ilvl w:val="1"/>
          <w:numId w:val="44"/>
        </w:numPr>
        <w:tabs>
          <w:tab w:val="left" w:pos="1399"/>
          <w:tab w:val="left" w:leader="dot" w:pos="10600"/>
        </w:tabs>
        <w:spacing w:before="38" w:line="271" w:lineRule="auto"/>
        <w:ind w:left="1399" w:right="493" w:hanging="709"/>
        <w:rPr>
          <w:rFonts w:asciiTheme="minorHAnsi" w:hAnsiTheme="minorHAnsi" w:cstheme="minorHAnsi"/>
          <w:sz w:val="18"/>
        </w:rPr>
      </w:pPr>
      <w:r w:rsidRPr="00650FD4">
        <w:rPr>
          <w:rFonts w:asciiTheme="minorHAnsi" w:hAnsiTheme="minorHAnsi" w:cstheme="minorHAnsi"/>
          <w:sz w:val="18"/>
        </w:rPr>
        <w:t>General Meeting of Celon Pharma S.A., its essential powers and description of shareholders’ rights and how to exercise them</w:t>
      </w:r>
      <w:r w:rsidRPr="00650FD4">
        <w:rPr>
          <w:rFonts w:asciiTheme="minorHAnsi" w:hAnsiTheme="minorHAnsi" w:cstheme="minorHAnsi"/>
          <w:sz w:val="18"/>
        </w:rPr>
        <w:tab/>
        <w:t>40</w:t>
      </w:r>
    </w:p>
    <w:p w14:paraId="2716911B" w14:textId="77777777" w:rsidR="00E1198C" w:rsidRPr="00650FD4" w:rsidRDefault="00000000">
      <w:pPr>
        <w:pStyle w:val="Akapitzlist"/>
        <w:numPr>
          <w:ilvl w:val="1"/>
          <w:numId w:val="44"/>
        </w:numPr>
        <w:tabs>
          <w:tab w:val="left" w:pos="1400"/>
          <w:tab w:val="left" w:leader="dot" w:pos="10607"/>
        </w:tabs>
        <w:spacing w:line="218" w:lineRule="exact"/>
        <w:ind w:hanging="710"/>
        <w:rPr>
          <w:rFonts w:asciiTheme="minorHAnsi" w:hAnsiTheme="minorHAnsi" w:cstheme="minorHAnsi"/>
          <w:sz w:val="18"/>
        </w:rPr>
      </w:pPr>
      <w:r w:rsidRPr="00650FD4">
        <w:rPr>
          <w:rFonts w:asciiTheme="minorHAnsi" w:hAnsiTheme="minorHAnsi" w:cstheme="minorHAnsi"/>
          <w:sz w:val="18"/>
        </w:rPr>
        <w:t>Rules for amending the Articles of Association of the Company</w:t>
      </w:r>
      <w:r w:rsidRPr="00650FD4">
        <w:rPr>
          <w:rFonts w:asciiTheme="minorHAnsi" w:hAnsiTheme="minorHAnsi" w:cstheme="minorHAnsi"/>
          <w:sz w:val="18"/>
        </w:rPr>
        <w:tab/>
        <w:t>42</w:t>
      </w:r>
    </w:p>
    <w:p w14:paraId="27C97A4C" w14:textId="77777777" w:rsidR="00E1198C" w:rsidRPr="00650FD4" w:rsidRDefault="00000000">
      <w:pPr>
        <w:pStyle w:val="Akapitzlist"/>
        <w:numPr>
          <w:ilvl w:val="1"/>
          <w:numId w:val="44"/>
        </w:numPr>
        <w:tabs>
          <w:tab w:val="left" w:pos="1400"/>
          <w:tab w:val="left" w:leader="dot" w:pos="10606"/>
        </w:tabs>
        <w:spacing w:before="39"/>
        <w:ind w:hanging="710"/>
        <w:rPr>
          <w:rFonts w:asciiTheme="minorHAnsi" w:hAnsiTheme="minorHAnsi" w:cstheme="minorHAnsi"/>
          <w:sz w:val="18"/>
        </w:rPr>
      </w:pPr>
      <w:r w:rsidRPr="00650FD4">
        <w:rPr>
          <w:rFonts w:asciiTheme="minorHAnsi" w:hAnsiTheme="minorHAnsi" w:cstheme="minorHAnsi"/>
          <w:sz w:val="18"/>
        </w:rPr>
        <w:t>Internal control and risk management systems in relation to the Company’s reporting process</w:t>
      </w:r>
      <w:r w:rsidRPr="00650FD4">
        <w:rPr>
          <w:rFonts w:asciiTheme="minorHAnsi" w:hAnsiTheme="minorHAnsi" w:cstheme="minorHAnsi"/>
          <w:sz w:val="18"/>
        </w:rPr>
        <w:tab/>
        <w:t>42</w:t>
      </w:r>
    </w:p>
    <w:p w14:paraId="77658601" w14:textId="77777777" w:rsidR="00E1198C" w:rsidRPr="00650FD4" w:rsidRDefault="00000000">
      <w:pPr>
        <w:pStyle w:val="Akapitzlist"/>
        <w:numPr>
          <w:ilvl w:val="1"/>
          <w:numId w:val="44"/>
        </w:numPr>
        <w:tabs>
          <w:tab w:val="left" w:pos="1400"/>
          <w:tab w:val="left" w:leader="dot" w:pos="10603"/>
        </w:tabs>
        <w:spacing w:before="28"/>
        <w:ind w:hanging="710"/>
        <w:rPr>
          <w:rFonts w:asciiTheme="minorHAnsi" w:hAnsiTheme="minorHAnsi" w:cstheme="minorHAnsi"/>
          <w:sz w:val="18"/>
        </w:rPr>
      </w:pPr>
      <w:r w:rsidRPr="00650FD4">
        <w:rPr>
          <w:rFonts w:asciiTheme="minorHAnsi" w:hAnsiTheme="minorHAnsi" w:cstheme="minorHAnsi"/>
          <w:sz w:val="18"/>
        </w:rPr>
        <w:t>Diversity Policy</w:t>
      </w:r>
      <w:r w:rsidRPr="00650FD4">
        <w:rPr>
          <w:rFonts w:asciiTheme="minorHAnsi" w:hAnsiTheme="minorHAnsi" w:cstheme="minorHAnsi"/>
          <w:sz w:val="18"/>
        </w:rPr>
        <w:tab/>
        <w:t>43</w:t>
      </w:r>
    </w:p>
    <w:p w14:paraId="0CD2D0BF" w14:textId="77777777" w:rsidR="00E1198C" w:rsidRPr="00650FD4" w:rsidRDefault="00000000">
      <w:pPr>
        <w:pStyle w:val="Akapitzlist"/>
        <w:numPr>
          <w:ilvl w:val="0"/>
          <w:numId w:val="44"/>
        </w:numPr>
        <w:tabs>
          <w:tab w:val="left" w:pos="1400"/>
          <w:tab w:val="left" w:leader="dot" w:pos="10605"/>
        </w:tabs>
        <w:spacing w:before="163"/>
        <w:ind w:hanging="890"/>
        <w:rPr>
          <w:rFonts w:asciiTheme="minorHAnsi" w:hAnsiTheme="minorHAnsi" w:cstheme="minorHAnsi"/>
          <w:sz w:val="18"/>
        </w:rPr>
      </w:pPr>
      <w:r w:rsidRPr="00650FD4">
        <w:rPr>
          <w:rFonts w:asciiTheme="minorHAnsi" w:hAnsiTheme="minorHAnsi" w:cstheme="minorHAnsi"/>
          <w:sz w:val="18"/>
        </w:rPr>
        <w:t>Remuneration of members of the Company’s bodies</w:t>
      </w:r>
      <w:r w:rsidRPr="00650FD4">
        <w:rPr>
          <w:rFonts w:asciiTheme="minorHAnsi" w:hAnsiTheme="minorHAnsi" w:cstheme="minorHAnsi"/>
          <w:sz w:val="18"/>
        </w:rPr>
        <w:tab/>
        <w:t>43</w:t>
      </w:r>
    </w:p>
    <w:p w14:paraId="0E9EF6F2" w14:textId="77777777" w:rsidR="00E1198C" w:rsidRPr="00650FD4" w:rsidRDefault="00000000">
      <w:pPr>
        <w:pStyle w:val="Akapitzlist"/>
        <w:numPr>
          <w:ilvl w:val="1"/>
          <w:numId w:val="44"/>
        </w:numPr>
        <w:tabs>
          <w:tab w:val="left" w:pos="1400"/>
          <w:tab w:val="left" w:leader="dot" w:pos="10603"/>
        </w:tabs>
        <w:spacing w:before="129"/>
        <w:ind w:hanging="710"/>
        <w:rPr>
          <w:rFonts w:asciiTheme="minorHAnsi" w:hAnsiTheme="minorHAnsi" w:cstheme="minorHAnsi"/>
          <w:sz w:val="18"/>
        </w:rPr>
      </w:pPr>
      <w:r w:rsidRPr="00650FD4">
        <w:rPr>
          <w:rFonts w:asciiTheme="minorHAnsi" w:hAnsiTheme="minorHAnsi" w:cstheme="minorHAnsi"/>
          <w:sz w:val="18"/>
        </w:rPr>
        <w:t>Remuneration terms and amount – Members of the Management Board</w:t>
      </w:r>
      <w:r w:rsidRPr="00650FD4">
        <w:rPr>
          <w:rFonts w:asciiTheme="minorHAnsi" w:hAnsiTheme="minorHAnsi" w:cstheme="minorHAnsi"/>
          <w:sz w:val="18"/>
        </w:rPr>
        <w:tab/>
        <w:t>43</w:t>
      </w:r>
    </w:p>
    <w:p w14:paraId="0374674D" w14:textId="77777777" w:rsidR="00E1198C" w:rsidRPr="00650FD4" w:rsidRDefault="00000000">
      <w:pPr>
        <w:pStyle w:val="Akapitzlist"/>
        <w:numPr>
          <w:ilvl w:val="1"/>
          <w:numId w:val="44"/>
        </w:numPr>
        <w:tabs>
          <w:tab w:val="left" w:pos="1400"/>
          <w:tab w:val="left" w:leader="dot" w:pos="10601"/>
        </w:tabs>
        <w:spacing w:before="28"/>
        <w:ind w:hanging="710"/>
        <w:rPr>
          <w:rFonts w:asciiTheme="minorHAnsi" w:hAnsiTheme="minorHAnsi" w:cstheme="minorHAnsi"/>
          <w:sz w:val="18"/>
        </w:rPr>
      </w:pPr>
      <w:r w:rsidRPr="00650FD4">
        <w:rPr>
          <w:rFonts w:asciiTheme="minorHAnsi" w:hAnsiTheme="minorHAnsi" w:cstheme="minorHAnsi"/>
          <w:sz w:val="18"/>
        </w:rPr>
        <w:t>Remuneration terms and amount –  Members of the Supervisory Board</w:t>
      </w:r>
      <w:r w:rsidRPr="00650FD4">
        <w:rPr>
          <w:rFonts w:asciiTheme="minorHAnsi" w:hAnsiTheme="minorHAnsi" w:cstheme="minorHAnsi"/>
          <w:sz w:val="18"/>
        </w:rPr>
        <w:tab/>
        <w:t>44</w:t>
      </w:r>
    </w:p>
    <w:p w14:paraId="23ABB018" w14:textId="77777777" w:rsidR="00E1198C" w:rsidRPr="00650FD4" w:rsidRDefault="00000000">
      <w:pPr>
        <w:pStyle w:val="Akapitzlist"/>
        <w:numPr>
          <w:ilvl w:val="1"/>
          <w:numId w:val="44"/>
        </w:numPr>
        <w:tabs>
          <w:tab w:val="left" w:pos="1400"/>
          <w:tab w:val="left" w:leader="dot" w:pos="10607"/>
        </w:tabs>
        <w:spacing w:before="39"/>
        <w:ind w:hanging="710"/>
        <w:rPr>
          <w:rFonts w:asciiTheme="minorHAnsi" w:hAnsiTheme="minorHAnsi" w:cstheme="minorHAnsi"/>
          <w:sz w:val="18"/>
        </w:rPr>
      </w:pPr>
      <w:r w:rsidRPr="00650FD4">
        <w:rPr>
          <w:rFonts w:asciiTheme="minorHAnsi" w:hAnsiTheme="minorHAnsi" w:cstheme="minorHAnsi"/>
          <w:sz w:val="18"/>
        </w:rPr>
        <w:t>Agreements on managers' compensation</w:t>
      </w:r>
      <w:r w:rsidRPr="00650FD4">
        <w:rPr>
          <w:rFonts w:asciiTheme="minorHAnsi" w:hAnsiTheme="minorHAnsi" w:cstheme="minorHAnsi"/>
          <w:sz w:val="18"/>
        </w:rPr>
        <w:tab/>
        <w:t>45</w:t>
      </w:r>
    </w:p>
    <w:p w14:paraId="0C8F4843" w14:textId="77777777" w:rsidR="00E1198C" w:rsidRPr="00650FD4" w:rsidRDefault="00000000">
      <w:pPr>
        <w:pStyle w:val="Akapitzlist"/>
        <w:numPr>
          <w:ilvl w:val="1"/>
          <w:numId w:val="44"/>
        </w:numPr>
        <w:tabs>
          <w:tab w:val="left" w:pos="1400"/>
          <w:tab w:val="left" w:leader="dot" w:pos="10602"/>
        </w:tabs>
        <w:spacing w:before="28"/>
        <w:ind w:hanging="710"/>
        <w:rPr>
          <w:rFonts w:asciiTheme="minorHAnsi" w:hAnsiTheme="minorHAnsi" w:cstheme="minorHAnsi"/>
          <w:sz w:val="18"/>
        </w:rPr>
      </w:pPr>
      <w:r w:rsidRPr="00650FD4">
        <w:rPr>
          <w:rFonts w:asciiTheme="minorHAnsi" w:hAnsiTheme="minorHAnsi" w:cstheme="minorHAnsi"/>
          <w:sz w:val="18"/>
        </w:rPr>
        <w:t>Liabilities arising from pensions and similar benefits to former managers and supervisors</w:t>
      </w:r>
      <w:r w:rsidRPr="00650FD4">
        <w:rPr>
          <w:rFonts w:asciiTheme="minorHAnsi" w:hAnsiTheme="minorHAnsi" w:cstheme="minorHAnsi"/>
          <w:sz w:val="18"/>
        </w:rPr>
        <w:tab/>
        <w:t>45</w:t>
      </w:r>
    </w:p>
    <w:p w14:paraId="6FD3E703" w14:textId="77777777" w:rsidR="00E1198C" w:rsidRPr="00650FD4" w:rsidRDefault="00000000">
      <w:pPr>
        <w:pStyle w:val="Akapitzlist"/>
        <w:numPr>
          <w:ilvl w:val="0"/>
          <w:numId w:val="44"/>
        </w:numPr>
        <w:tabs>
          <w:tab w:val="left" w:pos="1400"/>
          <w:tab w:val="left" w:leader="dot" w:pos="10610"/>
        </w:tabs>
        <w:spacing w:before="163"/>
        <w:ind w:hanging="890"/>
        <w:rPr>
          <w:rFonts w:asciiTheme="minorHAnsi" w:hAnsiTheme="minorHAnsi" w:cstheme="minorHAnsi"/>
          <w:sz w:val="18"/>
        </w:rPr>
      </w:pPr>
      <w:r w:rsidRPr="00650FD4">
        <w:rPr>
          <w:rFonts w:asciiTheme="minorHAnsi" w:hAnsiTheme="minorHAnsi" w:cstheme="minorHAnsi"/>
          <w:sz w:val="18"/>
        </w:rPr>
        <w:t>Additional Information</w:t>
      </w:r>
      <w:r w:rsidRPr="00650FD4">
        <w:rPr>
          <w:rFonts w:asciiTheme="minorHAnsi" w:hAnsiTheme="minorHAnsi" w:cstheme="minorHAnsi"/>
          <w:sz w:val="18"/>
        </w:rPr>
        <w:tab/>
        <w:t>45</w:t>
      </w:r>
    </w:p>
    <w:p w14:paraId="2F525288" w14:textId="77777777" w:rsidR="00E1198C" w:rsidRPr="00650FD4" w:rsidRDefault="00000000">
      <w:pPr>
        <w:pStyle w:val="Akapitzlist"/>
        <w:numPr>
          <w:ilvl w:val="1"/>
          <w:numId w:val="44"/>
        </w:numPr>
        <w:tabs>
          <w:tab w:val="left" w:pos="1399"/>
          <w:tab w:val="left" w:leader="dot" w:pos="10601"/>
        </w:tabs>
        <w:spacing w:before="129" w:line="271" w:lineRule="auto"/>
        <w:ind w:left="1399" w:right="493" w:hanging="709"/>
        <w:rPr>
          <w:rFonts w:asciiTheme="minorHAnsi" w:hAnsiTheme="minorHAnsi" w:cstheme="minorHAnsi"/>
          <w:sz w:val="18"/>
        </w:rPr>
      </w:pPr>
      <w:r w:rsidRPr="00650FD4">
        <w:rPr>
          <w:rFonts w:asciiTheme="minorHAnsi" w:hAnsiTheme="minorHAnsi" w:cstheme="minorHAnsi"/>
          <w:sz w:val="18"/>
        </w:rPr>
        <w:t>Proceedings pending before a court, an authority competent for arbitration proceedings or a public administration body</w:t>
      </w:r>
      <w:r w:rsidRPr="00650FD4">
        <w:rPr>
          <w:rFonts w:asciiTheme="minorHAnsi" w:hAnsiTheme="minorHAnsi" w:cstheme="minorHAnsi"/>
          <w:sz w:val="18"/>
        </w:rPr>
        <w:tab/>
        <w:t>45</w:t>
      </w:r>
    </w:p>
    <w:p w14:paraId="0434E960" w14:textId="77777777" w:rsidR="00E1198C" w:rsidRPr="00650FD4" w:rsidRDefault="00000000">
      <w:pPr>
        <w:pStyle w:val="Akapitzlist"/>
        <w:numPr>
          <w:ilvl w:val="1"/>
          <w:numId w:val="44"/>
        </w:numPr>
        <w:tabs>
          <w:tab w:val="left" w:pos="1400"/>
          <w:tab w:val="left" w:leader="dot" w:pos="10608"/>
        </w:tabs>
        <w:spacing w:before="10"/>
        <w:ind w:hanging="710"/>
        <w:rPr>
          <w:rFonts w:asciiTheme="minorHAnsi" w:hAnsiTheme="minorHAnsi" w:cstheme="minorHAnsi"/>
          <w:sz w:val="18"/>
        </w:rPr>
      </w:pPr>
      <w:r w:rsidRPr="00650FD4">
        <w:rPr>
          <w:rFonts w:asciiTheme="minorHAnsi" w:hAnsiTheme="minorHAnsi" w:cstheme="minorHAnsi"/>
          <w:sz w:val="18"/>
        </w:rPr>
        <w:t>Key intangible assets</w:t>
      </w:r>
      <w:r w:rsidRPr="00650FD4">
        <w:rPr>
          <w:rFonts w:asciiTheme="minorHAnsi" w:hAnsiTheme="minorHAnsi" w:cstheme="minorHAnsi"/>
          <w:sz w:val="18"/>
        </w:rPr>
        <w:tab/>
        <w:t>45</w:t>
      </w:r>
    </w:p>
    <w:p w14:paraId="7CE9C3AA" w14:textId="77777777" w:rsidR="00E1198C" w:rsidRPr="00650FD4" w:rsidRDefault="00000000">
      <w:pPr>
        <w:pStyle w:val="Akapitzlist"/>
        <w:numPr>
          <w:ilvl w:val="1"/>
          <w:numId w:val="44"/>
        </w:numPr>
        <w:tabs>
          <w:tab w:val="left" w:pos="1400"/>
          <w:tab w:val="left" w:leader="dot" w:pos="10608"/>
        </w:tabs>
        <w:spacing w:before="28"/>
        <w:ind w:hanging="710"/>
        <w:rPr>
          <w:rFonts w:asciiTheme="minorHAnsi" w:hAnsiTheme="minorHAnsi" w:cstheme="minorHAnsi"/>
          <w:sz w:val="18"/>
        </w:rPr>
      </w:pPr>
      <w:r w:rsidRPr="00650FD4">
        <w:rPr>
          <w:rFonts w:asciiTheme="minorHAnsi" w:hAnsiTheme="minorHAnsi" w:cstheme="minorHAnsi"/>
          <w:sz w:val="18"/>
        </w:rPr>
        <w:t>Employment</w:t>
      </w:r>
      <w:r w:rsidRPr="00650FD4">
        <w:rPr>
          <w:rFonts w:asciiTheme="minorHAnsi" w:hAnsiTheme="minorHAnsi" w:cstheme="minorHAnsi"/>
          <w:sz w:val="18"/>
        </w:rPr>
        <w:tab/>
        <w:t>47</w:t>
      </w:r>
    </w:p>
    <w:p w14:paraId="2F044F03" w14:textId="77777777" w:rsidR="00E1198C" w:rsidRPr="00650FD4" w:rsidRDefault="00000000">
      <w:pPr>
        <w:pStyle w:val="Akapitzlist"/>
        <w:numPr>
          <w:ilvl w:val="1"/>
          <w:numId w:val="44"/>
        </w:numPr>
        <w:tabs>
          <w:tab w:val="left" w:pos="1400"/>
          <w:tab w:val="left" w:leader="dot" w:pos="10606"/>
        </w:tabs>
        <w:spacing w:before="28"/>
        <w:ind w:hanging="710"/>
        <w:rPr>
          <w:rFonts w:asciiTheme="minorHAnsi" w:hAnsiTheme="minorHAnsi" w:cstheme="minorHAnsi"/>
          <w:sz w:val="18"/>
        </w:rPr>
      </w:pPr>
      <w:r w:rsidRPr="00650FD4">
        <w:rPr>
          <w:rFonts w:asciiTheme="minorHAnsi" w:hAnsiTheme="minorHAnsi" w:cstheme="minorHAnsi"/>
          <w:sz w:val="18"/>
        </w:rPr>
        <w:t>Information about the audit firm</w:t>
      </w:r>
      <w:r w:rsidRPr="00650FD4">
        <w:rPr>
          <w:rFonts w:asciiTheme="minorHAnsi" w:hAnsiTheme="minorHAnsi" w:cstheme="minorHAnsi"/>
          <w:sz w:val="18"/>
        </w:rPr>
        <w:tab/>
        <w:t>48</w:t>
      </w:r>
    </w:p>
    <w:p w14:paraId="5358027A" w14:textId="77777777" w:rsidR="00E1198C" w:rsidRPr="00650FD4" w:rsidRDefault="00000000">
      <w:pPr>
        <w:pStyle w:val="Akapitzlist"/>
        <w:numPr>
          <w:ilvl w:val="1"/>
          <w:numId w:val="44"/>
        </w:numPr>
        <w:tabs>
          <w:tab w:val="left" w:pos="1400"/>
          <w:tab w:val="left" w:leader="dot" w:pos="10607"/>
        </w:tabs>
        <w:spacing w:before="39"/>
        <w:ind w:hanging="710"/>
        <w:rPr>
          <w:rFonts w:asciiTheme="minorHAnsi" w:hAnsiTheme="minorHAnsi" w:cstheme="minorHAnsi"/>
          <w:sz w:val="18"/>
        </w:rPr>
      </w:pPr>
      <w:r w:rsidRPr="00650FD4">
        <w:rPr>
          <w:rFonts w:asciiTheme="minorHAnsi" w:hAnsiTheme="minorHAnsi" w:cstheme="minorHAnsi"/>
          <w:sz w:val="18"/>
        </w:rPr>
        <w:t>Expenditure incurred in supporting culture, sport and charitable institutions</w:t>
      </w:r>
      <w:r w:rsidRPr="00650FD4">
        <w:rPr>
          <w:rFonts w:asciiTheme="minorHAnsi" w:hAnsiTheme="minorHAnsi" w:cstheme="minorHAnsi"/>
          <w:sz w:val="18"/>
        </w:rPr>
        <w:tab/>
        <w:t>48</w:t>
      </w:r>
    </w:p>
    <w:p w14:paraId="7263DABC" w14:textId="77777777" w:rsidR="00E1198C" w:rsidRPr="00650FD4" w:rsidRDefault="00000000">
      <w:pPr>
        <w:pStyle w:val="Tekstpodstawowy"/>
        <w:tabs>
          <w:tab w:val="left" w:pos="1331"/>
        </w:tabs>
        <w:spacing w:before="246" w:line="244" w:lineRule="auto"/>
        <w:ind w:left="1356" w:right="1523" w:hanging="836"/>
        <w:rPr>
          <w:rFonts w:asciiTheme="minorHAnsi" w:hAnsiTheme="minorHAnsi" w:cstheme="minorHAnsi"/>
        </w:rPr>
      </w:pPr>
      <w:r w:rsidRPr="00650FD4">
        <w:rPr>
          <w:rFonts w:asciiTheme="minorHAnsi" w:hAnsiTheme="minorHAnsi" w:cstheme="minorHAnsi"/>
        </w:rPr>
        <w:t>9.</w:t>
      </w:r>
      <w:r w:rsidRPr="00650FD4">
        <w:rPr>
          <w:rFonts w:asciiTheme="minorHAnsi" w:hAnsiTheme="minorHAnsi" w:cstheme="minorHAnsi"/>
        </w:rPr>
        <w:tab/>
        <w:t>Sustainability statement (a distinct part of the Report on Celon Pharma S.A.'s operations, pursuant to Article 49f of the Accounting Act) pages 0-63</w:t>
      </w:r>
    </w:p>
    <w:p w14:paraId="7BCB4505" w14:textId="77777777" w:rsidR="00E1198C" w:rsidRDefault="00E1198C">
      <w:pPr>
        <w:spacing w:line="244" w:lineRule="auto"/>
        <w:sectPr w:rsidR="00E1198C">
          <w:pgSz w:w="11900" w:h="16840"/>
          <w:pgMar w:top="840" w:right="320" w:bottom="920" w:left="300" w:header="0" w:footer="726" w:gutter="0"/>
          <w:cols w:space="708"/>
        </w:sectPr>
      </w:pPr>
    </w:p>
    <w:p w14:paraId="4023D238" w14:textId="77777777" w:rsidR="00E1198C" w:rsidRDefault="00000000">
      <w:pPr>
        <w:pStyle w:val="Akapitzlist"/>
        <w:numPr>
          <w:ilvl w:val="0"/>
          <w:numId w:val="43"/>
        </w:numPr>
        <w:tabs>
          <w:tab w:val="left" w:pos="942"/>
        </w:tabs>
        <w:spacing w:before="61"/>
        <w:ind w:hanging="432"/>
        <w:rPr>
          <w:sz w:val="18"/>
        </w:rPr>
      </w:pPr>
      <w:r>
        <w:rPr>
          <w:color w:val="F5811F"/>
          <w:sz w:val="18"/>
        </w:rPr>
        <w:lastRenderedPageBreak/>
        <w:t>Introduction</w:t>
      </w:r>
    </w:p>
    <w:p w14:paraId="39447C7F" w14:textId="77777777" w:rsidR="00E1198C" w:rsidRDefault="00E1198C">
      <w:pPr>
        <w:pStyle w:val="Tekstpodstawowy"/>
        <w:spacing w:before="56"/>
      </w:pPr>
    </w:p>
    <w:p w14:paraId="1368D8ED" w14:textId="77777777" w:rsidR="00E1198C" w:rsidRDefault="00000000">
      <w:pPr>
        <w:pStyle w:val="Akapitzlist"/>
        <w:numPr>
          <w:ilvl w:val="1"/>
          <w:numId w:val="43"/>
        </w:numPr>
        <w:tabs>
          <w:tab w:val="left" w:pos="1088"/>
        </w:tabs>
        <w:ind w:hanging="578"/>
        <w:rPr>
          <w:sz w:val="18"/>
        </w:rPr>
      </w:pPr>
      <w:r>
        <w:rPr>
          <w:color w:val="F07D00"/>
          <w:sz w:val="18"/>
        </w:rPr>
        <w:t>Selected financial data</w:t>
      </w:r>
    </w:p>
    <w:p w14:paraId="3856A5D5" w14:textId="77777777" w:rsidR="00E1198C" w:rsidRDefault="00E1198C">
      <w:pPr>
        <w:pStyle w:val="Tekstpodstawowy"/>
        <w:spacing w:before="125"/>
      </w:pPr>
    </w:p>
    <w:p w14:paraId="6F24BCE2" w14:textId="77777777" w:rsidR="00E1198C" w:rsidRDefault="00000000">
      <w:pPr>
        <w:spacing w:before="1" w:line="276" w:lineRule="auto"/>
        <w:ind w:left="510" w:right="480"/>
        <w:jc w:val="both"/>
        <w:rPr>
          <w:i/>
          <w:sz w:val="18"/>
        </w:rPr>
      </w:pPr>
      <w:r>
        <w:rPr>
          <w:noProof/>
        </w:rPr>
        <w:drawing>
          <wp:anchor distT="0" distB="0" distL="0" distR="0" simplePos="0" relativeHeight="251652608" behindDoc="1" locked="0" layoutInCell="1" allowOverlap="1" wp14:anchorId="3555D53F" wp14:editId="38E29E3D">
            <wp:simplePos x="0" y="0"/>
            <wp:positionH relativeFrom="page">
              <wp:posOffset>514506</wp:posOffset>
            </wp:positionH>
            <wp:positionV relativeFrom="paragraph">
              <wp:posOffset>885327</wp:posOffset>
            </wp:positionV>
            <wp:extent cx="6531379" cy="5338008"/>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9" cstate="print"/>
                    <a:stretch>
                      <a:fillRect/>
                    </a:stretch>
                  </pic:blipFill>
                  <pic:spPr>
                    <a:xfrm>
                      <a:off x="0" y="0"/>
                      <a:ext cx="6531379" cy="5338008"/>
                    </a:xfrm>
                    <a:prstGeom prst="rect">
                      <a:avLst/>
                    </a:prstGeom>
                  </pic:spPr>
                </pic:pic>
              </a:graphicData>
            </a:graphic>
          </wp:anchor>
        </w:drawing>
      </w:r>
      <w:r>
        <w:rPr>
          <w:i/>
          <w:sz w:val="18"/>
        </w:rPr>
        <w:t>The selected balance sheet items expressed in EUR have been calculated in accordance with the average EUR exchange rates announced by the National Bank of Poland on December 31, 2024 (PLN 4.2730/EUR) and on December 31, 2023 (PLN 4.3480/EUR).The selected items of the profit and loss account and the cash flow statement were calculated into EUR in accordance with the exchange rate announced by the National Bank of Poland, which constitutes the arithmetic mean of the average exchange rates of EUR applicable on the last day of each ended month within the 12-month period ended December 31, 2024 (PLN 4.3042/EUR) and the 12-month period ended December 31, 2023 (PLN 4.5284/EUR).</w:t>
      </w:r>
    </w:p>
    <w:p w14:paraId="6F6F2881" w14:textId="77777777" w:rsidR="00E1198C" w:rsidRDefault="00E1198C">
      <w:pPr>
        <w:pStyle w:val="Tekstpodstawowy"/>
        <w:spacing w:before="173" w:after="1"/>
        <w:rPr>
          <w:i/>
          <w:sz w:val="20"/>
        </w:rPr>
      </w:pPr>
    </w:p>
    <w:tbl>
      <w:tblPr>
        <w:tblStyle w:val="TableNormal"/>
        <w:tblW w:w="0" w:type="auto"/>
        <w:tblInd w:w="535" w:type="dxa"/>
        <w:tblLayout w:type="fixed"/>
        <w:tblLook w:val="01E0" w:firstRow="1" w:lastRow="1" w:firstColumn="1" w:lastColumn="1" w:noHBand="0" w:noVBand="0"/>
      </w:tblPr>
      <w:tblGrid>
        <w:gridCol w:w="3984"/>
        <w:gridCol w:w="1626"/>
        <w:gridCol w:w="1534"/>
        <w:gridCol w:w="1655"/>
        <w:gridCol w:w="1457"/>
      </w:tblGrid>
      <w:tr w:rsidR="000934DB" w14:paraId="47A8B76F" w14:textId="77777777" w:rsidTr="0037451D">
        <w:trPr>
          <w:trHeight w:val="757"/>
        </w:trPr>
        <w:tc>
          <w:tcPr>
            <w:tcW w:w="3984" w:type="dxa"/>
            <w:vMerge w:val="restart"/>
          </w:tcPr>
          <w:p w14:paraId="1671C730" w14:textId="77777777" w:rsidR="000934DB" w:rsidRDefault="000934DB">
            <w:pPr>
              <w:pStyle w:val="TableParagraph"/>
              <w:rPr>
                <w:rFonts w:ascii="Times New Roman"/>
                <w:sz w:val="18"/>
              </w:rPr>
            </w:pPr>
          </w:p>
        </w:tc>
        <w:tc>
          <w:tcPr>
            <w:tcW w:w="1626" w:type="dxa"/>
          </w:tcPr>
          <w:p w14:paraId="25F34CB0" w14:textId="386FCA12" w:rsidR="000934DB" w:rsidRDefault="000934DB" w:rsidP="000934DB">
            <w:pPr>
              <w:pStyle w:val="TableParagraph"/>
              <w:spacing w:line="179" w:lineRule="exact"/>
              <w:ind w:left="158"/>
              <w:jc w:val="center"/>
              <w:rPr>
                <w:sz w:val="18"/>
              </w:rPr>
            </w:pPr>
            <w:r>
              <w:rPr>
                <w:sz w:val="18"/>
              </w:rPr>
              <w:t>For the period</w:t>
            </w:r>
            <w:r>
              <w:rPr>
                <w:sz w:val="18"/>
              </w:rPr>
              <w:br/>
              <w:t>01/01-12/31/2024</w:t>
            </w:r>
          </w:p>
        </w:tc>
        <w:tc>
          <w:tcPr>
            <w:tcW w:w="1534" w:type="dxa"/>
          </w:tcPr>
          <w:p w14:paraId="01D1C406" w14:textId="04CAF0FC" w:rsidR="000934DB" w:rsidRDefault="000934DB" w:rsidP="000934DB">
            <w:pPr>
              <w:pStyle w:val="TableParagraph"/>
              <w:spacing w:line="179" w:lineRule="exact"/>
              <w:jc w:val="center"/>
              <w:rPr>
                <w:sz w:val="18"/>
              </w:rPr>
            </w:pPr>
            <w:r>
              <w:rPr>
                <w:sz w:val="18"/>
              </w:rPr>
              <w:t>For the period 01/01-12/31/2023</w:t>
            </w:r>
          </w:p>
        </w:tc>
        <w:tc>
          <w:tcPr>
            <w:tcW w:w="1655" w:type="dxa"/>
          </w:tcPr>
          <w:p w14:paraId="6759C39D" w14:textId="7B6A02C5" w:rsidR="000934DB" w:rsidRDefault="000934DB" w:rsidP="000934DB">
            <w:pPr>
              <w:pStyle w:val="TableParagraph"/>
              <w:spacing w:line="179" w:lineRule="exact"/>
              <w:jc w:val="center"/>
              <w:rPr>
                <w:sz w:val="18"/>
              </w:rPr>
            </w:pPr>
            <w:r>
              <w:rPr>
                <w:sz w:val="18"/>
              </w:rPr>
              <w:t>For the period 01/01-12/31/2024</w:t>
            </w:r>
          </w:p>
        </w:tc>
        <w:tc>
          <w:tcPr>
            <w:tcW w:w="1457" w:type="dxa"/>
          </w:tcPr>
          <w:p w14:paraId="79B24908" w14:textId="1DAE621F" w:rsidR="000934DB" w:rsidRDefault="000934DB" w:rsidP="000934DB">
            <w:pPr>
              <w:pStyle w:val="TableParagraph"/>
              <w:spacing w:line="179" w:lineRule="exact"/>
              <w:jc w:val="center"/>
              <w:rPr>
                <w:sz w:val="18"/>
              </w:rPr>
            </w:pPr>
            <w:r>
              <w:rPr>
                <w:sz w:val="18"/>
              </w:rPr>
              <w:t>For the period 01/01-12/31/2023</w:t>
            </w:r>
          </w:p>
        </w:tc>
      </w:tr>
      <w:tr w:rsidR="00E1198C" w14:paraId="6F7EBE97" w14:textId="77777777">
        <w:trPr>
          <w:trHeight w:val="343"/>
        </w:trPr>
        <w:tc>
          <w:tcPr>
            <w:tcW w:w="3984" w:type="dxa"/>
            <w:vMerge/>
            <w:tcBorders>
              <w:top w:val="nil"/>
            </w:tcBorders>
          </w:tcPr>
          <w:p w14:paraId="75459C87" w14:textId="77777777" w:rsidR="00E1198C" w:rsidRDefault="00E1198C">
            <w:pPr>
              <w:rPr>
                <w:sz w:val="2"/>
                <w:szCs w:val="2"/>
              </w:rPr>
            </w:pPr>
          </w:p>
        </w:tc>
        <w:tc>
          <w:tcPr>
            <w:tcW w:w="1626" w:type="dxa"/>
          </w:tcPr>
          <w:p w14:paraId="0A92ED65" w14:textId="77777777" w:rsidR="00E1198C" w:rsidRDefault="00000000">
            <w:pPr>
              <w:pStyle w:val="TableParagraph"/>
              <w:spacing w:before="112" w:line="211" w:lineRule="exact"/>
              <w:ind w:left="488"/>
              <w:rPr>
                <w:sz w:val="18"/>
              </w:rPr>
            </w:pPr>
            <w:r>
              <w:rPr>
                <w:color w:val="252525"/>
                <w:sz w:val="18"/>
              </w:rPr>
              <w:t>PLN'000</w:t>
            </w:r>
          </w:p>
        </w:tc>
        <w:tc>
          <w:tcPr>
            <w:tcW w:w="1534" w:type="dxa"/>
          </w:tcPr>
          <w:p w14:paraId="41A9E307" w14:textId="77777777" w:rsidR="00E1198C" w:rsidRDefault="00000000">
            <w:pPr>
              <w:pStyle w:val="TableParagraph"/>
              <w:spacing w:before="112" w:line="211" w:lineRule="exact"/>
              <w:ind w:left="415"/>
              <w:rPr>
                <w:sz w:val="18"/>
              </w:rPr>
            </w:pPr>
            <w:r>
              <w:rPr>
                <w:color w:val="252525"/>
                <w:sz w:val="18"/>
              </w:rPr>
              <w:t>PLN'000</w:t>
            </w:r>
          </w:p>
        </w:tc>
        <w:tc>
          <w:tcPr>
            <w:tcW w:w="1655" w:type="dxa"/>
          </w:tcPr>
          <w:p w14:paraId="2D776B3F" w14:textId="77777777" w:rsidR="00E1198C" w:rsidRDefault="00000000">
            <w:pPr>
              <w:pStyle w:val="TableParagraph"/>
              <w:spacing w:before="112" w:line="211" w:lineRule="exact"/>
              <w:ind w:left="479"/>
              <w:rPr>
                <w:sz w:val="18"/>
              </w:rPr>
            </w:pPr>
            <w:r>
              <w:rPr>
                <w:color w:val="252525"/>
                <w:sz w:val="18"/>
              </w:rPr>
              <w:t>EUR'000</w:t>
            </w:r>
          </w:p>
        </w:tc>
        <w:tc>
          <w:tcPr>
            <w:tcW w:w="1457" w:type="dxa"/>
          </w:tcPr>
          <w:p w14:paraId="595A1259" w14:textId="77777777" w:rsidR="00E1198C" w:rsidRDefault="00000000">
            <w:pPr>
              <w:pStyle w:val="TableParagraph"/>
              <w:spacing w:before="112" w:line="211" w:lineRule="exact"/>
              <w:ind w:left="422"/>
              <w:rPr>
                <w:sz w:val="18"/>
              </w:rPr>
            </w:pPr>
            <w:r>
              <w:rPr>
                <w:color w:val="252525"/>
                <w:sz w:val="18"/>
              </w:rPr>
              <w:t>EUR'000</w:t>
            </w:r>
          </w:p>
        </w:tc>
      </w:tr>
      <w:tr w:rsidR="00E1198C" w14:paraId="3708673A" w14:textId="77777777">
        <w:trPr>
          <w:trHeight w:val="230"/>
        </w:trPr>
        <w:tc>
          <w:tcPr>
            <w:tcW w:w="3984" w:type="dxa"/>
          </w:tcPr>
          <w:p w14:paraId="6C629406" w14:textId="77777777" w:rsidR="00E1198C" w:rsidRDefault="00000000">
            <w:pPr>
              <w:pStyle w:val="TableParagraph"/>
              <w:spacing w:before="5" w:line="206" w:lineRule="exact"/>
              <w:ind w:left="50"/>
              <w:rPr>
                <w:sz w:val="18"/>
              </w:rPr>
            </w:pPr>
            <w:r>
              <w:rPr>
                <w:color w:val="252525"/>
                <w:sz w:val="18"/>
              </w:rPr>
              <w:t>Revenues, including:</w:t>
            </w:r>
          </w:p>
        </w:tc>
        <w:tc>
          <w:tcPr>
            <w:tcW w:w="1626" w:type="dxa"/>
          </w:tcPr>
          <w:p w14:paraId="1CD59D0C" w14:textId="77777777" w:rsidR="00E1198C" w:rsidRDefault="00000000">
            <w:pPr>
              <w:pStyle w:val="TableParagraph"/>
              <w:spacing w:before="5" w:line="206" w:lineRule="exact"/>
              <w:ind w:right="97"/>
              <w:jc w:val="right"/>
              <w:rPr>
                <w:sz w:val="18"/>
              </w:rPr>
            </w:pPr>
            <w:r>
              <w:rPr>
                <w:color w:val="252525"/>
                <w:sz w:val="18"/>
              </w:rPr>
              <w:t>207,188</w:t>
            </w:r>
          </w:p>
        </w:tc>
        <w:tc>
          <w:tcPr>
            <w:tcW w:w="1534" w:type="dxa"/>
          </w:tcPr>
          <w:p w14:paraId="49F69A5E" w14:textId="77777777" w:rsidR="00E1198C" w:rsidRDefault="00000000">
            <w:pPr>
              <w:pStyle w:val="TableParagraph"/>
              <w:spacing w:before="5" w:line="206" w:lineRule="exact"/>
              <w:ind w:right="134"/>
              <w:jc w:val="right"/>
              <w:rPr>
                <w:sz w:val="18"/>
              </w:rPr>
            </w:pPr>
            <w:r>
              <w:rPr>
                <w:color w:val="252525"/>
                <w:sz w:val="18"/>
              </w:rPr>
              <w:t>216,566</w:t>
            </w:r>
          </w:p>
        </w:tc>
        <w:tc>
          <w:tcPr>
            <w:tcW w:w="1655" w:type="dxa"/>
          </w:tcPr>
          <w:p w14:paraId="148CED28" w14:textId="77777777" w:rsidR="00E1198C" w:rsidRDefault="00000000">
            <w:pPr>
              <w:pStyle w:val="TableParagraph"/>
              <w:spacing w:before="5" w:line="206" w:lineRule="exact"/>
              <w:ind w:right="80"/>
              <w:jc w:val="right"/>
              <w:rPr>
                <w:sz w:val="18"/>
              </w:rPr>
            </w:pPr>
            <w:r>
              <w:rPr>
                <w:color w:val="252525"/>
                <w:sz w:val="18"/>
              </w:rPr>
              <w:t>48,136</w:t>
            </w:r>
          </w:p>
        </w:tc>
        <w:tc>
          <w:tcPr>
            <w:tcW w:w="1457" w:type="dxa"/>
          </w:tcPr>
          <w:p w14:paraId="7D72C54F" w14:textId="77777777" w:rsidR="00E1198C" w:rsidRDefault="00000000">
            <w:pPr>
              <w:pStyle w:val="TableParagraph"/>
              <w:spacing w:before="5" w:line="206" w:lineRule="exact"/>
              <w:ind w:right="62"/>
              <w:jc w:val="right"/>
              <w:rPr>
                <w:sz w:val="18"/>
              </w:rPr>
            </w:pPr>
            <w:r>
              <w:rPr>
                <w:color w:val="252525"/>
                <w:sz w:val="18"/>
              </w:rPr>
              <w:t>47,824</w:t>
            </w:r>
          </w:p>
        </w:tc>
      </w:tr>
      <w:tr w:rsidR="00E1198C" w14:paraId="2C25A23A" w14:textId="77777777">
        <w:trPr>
          <w:trHeight w:val="227"/>
        </w:trPr>
        <w:tc>
          <w:tcPr>
            <w:tcW w:w="3984" w:type="dxa"/>
          </w:tcPr>
          <w:p w14:paraId="586CFBE7" w14:textId="77777777" w:rsidR="00E1198C" w:rsidRDefault="00000000">
            <w:pPr>
              <w:pStyle w:val="TableParagraph"/>
              <w:spacing w:line="207" w:lineRule="exact"/>
              <w:ind w:left="50"/>
              <w:rPr>
                <w:sz w:val="18"/>
              </w:rPr>
            </w:pPr>
            <w:r>
              <w:rPr>
                <w:color w:val="252525"/>
                <w:sz w:val="18"/>
              </w:rPr>
              <w:t>Generic drug segment</w:t>
            </w:r>
          </w:p>
        </w:tc>
        <w:tc>
          <w:tcPr>
            <w:tcW w:w="1626" w:type="dxa"/>
          </w:tcPr>
          <w:p w14:paraId="6808B2F8" w14:textId="77777777" w:rsidR="00E1198C" w:rsidRDefault="00000000">
            <w:pPr>
              <w:pStyle w:val="TableParagraph"/>
              <w:spacing w:line="207" w:lineRule="exact"/>
              <w:ind w:right="97"/>
              <w:jc w:val="right"/>
              <w:rPr>
                <w:sz w:val="18"/>
              </w:rPr>
            </w:pPr>
            <w:r>
              <w:rPr>
                <w:color w:val="252525"/>
                <w:sz w:val="18"/>
              </w:rPr>
              <w:t>178,822</w:t>
            </w:r>
          </w:p>
        </w:tc>
        <w:tc>
          <w:tcPr>
            <w:tcW w:w="1534" w:type="dxa"/>
          </w:tcPr>
          <w:p w14:paraId="30C6BD12" w14:textId="77777777" w:rsidR="00E1198C" w:rsidRDefault="00000000">
            <w:pPr>
              <w:pStyle w:val="TableParagraph"/>
              <w:spacing w:line="207" w:lineRule="exact"/>
              <w:ind w:right="134"/>
              <w:jc w:val="right"/>
              <w:rPr>
                <w:sz w:val="18"/>
              </w:rPr>
            </w:pPr>
            <w:r>
              <w:rPr>
                <w:color w:val="252525"/>
                <w:sz w:val="18"/>
              </w:rPr>
              <w:t>167,039</w:t>
            </w:r>
          </w:p>
        </w:tc>
        <w:tc>
          <w:tcPr>
            <w:tcW w:w="1655" w:type="dxa"/>
          </w:tcPr>
          <w:p w14:paraId="5350215F" w14:textId="77777777" w:rsidR="00E1198C" w:rsidRDefault="00000000">
            <w:pPr>
              <w:pStyle w:val="TableParagraph"/>
              <w:spacing w:line="207" w:lineRule="exact"/>
              <w:ind w:right="80"/>
              <w:jc w:val="right"/>
              <w:rPr>
                <w:sz w:val="18"/>
              </w:rPr>
            </w:pPr>
            <w:r>
              <w:rPr>
                <w:color w:val="252525"/>
                <w:sz w:val="18"/>
              </w:rPr>
              <w:t>41,546</w:t>
            </w:r>
          </w:p>
        </w:tc>
        <w:tc>
          <w:tcPr>
            <w:tcW w:w="1457" w:type="dxa"/>
          </w:tcPr>
          <w:p w14:paraId="441D1E71" w14:textId="77777777" w:rsidR="00E1198C" w:rsidRDefault="00000000">
            <w:pPr>
              <w:pStyle w:val="TableParagraph"/>
              <w:spacing w:line="207" w:lineRule="exact"/>
              <w:ind w:right="62"/>
              <w:jc w:val="right"/>
              <w:rPr>
                <w:sz w:val="18"/>
              </w:rPr>
            </w:pPr>
            <w:r>
              <w:rPr>
                <w:color w:val="252525"/>
                <w:sz w:val="18"/>
              </w:rPr>
              <w:t>36,887</w:t>
            </w:r>
          </w:p>
        </w:tc>
      </w:tr>
      <w:tr w:rsidR="00E1198C" w14:paraId="53A1EC4C" w14:textId="77777777">
        <w:trPr>
          <w:trHeight w:val="228"/>
        </w:trPr>
        <w:tc>
          <w:tcPr>
            <w:tcW w:w="3984" w:type="dxa"/>
          </w:tcPr>
          <w:p w14:paraId="3ACD685B" w14:textId="77777777" w:rsidR="00E1198C" w:rsidRDefault="00000000">
            <w:pPr>
              <w:pStyle w:val="TableParagraph"/>
              <w:spacing w:line="209" w:lineRule="exact"/>
              <w:ind w:left="50"/>
              <w:rPr>
                <w:sz w:val="18"/>
              </w:rPr>
            </w:pPr>
            <w:r>
              <w:rPr>
                <w:color w:val="252525"/>
                <w:sz w:val="18"/>
              </w:rPr>
              <w:t>Innovative segment</w:t>
            </w:r>
          </w:p>
        </w:tc>
        <w:tc>
          <w:tcPr>
            <w:tcW w:w="1626" w:type="dxa"/>
          </w:tcPr>
          <w:p w14:paraId="75294A5D" w14:textId="77777777" w:rsidR="00E1198C" w:rsidRDefault="00000000">
            <w:pPr>
              <w:pStyle w:val="TableParagraph"/>
              <w:spacing w:line="209" w:lineRule="exact"/>
              <w:ind w:right="86"/>
              <w:jc w:val="right"/>
              <w:rPr>
                <w:sz w:val="18"/>
              </w:rPr>
            </w:pPr>
            <w:r>
              <w:rPr>
                <w:color w:val="252525"/>
                <w:sz w:val="18"/>
              </w:rPr>
              <w:t>28,366</w:t>
            </w:r>
          </w:p>
        </w:tc>
        <w:tc>
          <w:tcPr>
            <w:tcW w:w="1534" w:type="dxa"/>
          </w:tcPr>
          <w:p w14:paraId="4C16D3C9" w14:textId="77777777" w:rsidR="00E1198C" w:rsidRDefault="00000000">
            <w:pPr>
              <w:pStyle w:val="TableParagraph"/>
              <w:spacing w:line="209" w:lineRule="exact"/>
              <w:ind w:right="135"/>
              <w:jc w:val="right"/>
              <w:rPr>
                <w:sz w:val="18"/>
              </w:rPr>
            </w:pPr>
            <w:r>
              <w:rPr>
                <w:color w:val="252525"/>
                <w:sz w:val="18"/>
              </w:rPr>
              <w:t>49,527</w:t>
            </w:r>
          </w:p>
        </w:tc>
        <w:tc>
          <w:tcPr>
            <w:tcW w:w="1655" w:type="dxa"/>
          </w:tcPr>
          <w:p w14:paraId="22C7A58E" w14:textId="77777777" w:rsidR="00E1198C" w:rsidRDefault="00000000">
            <w:pPr>
              <w:pStyle w:val="TableParagraph"/>
              <w:spacing w:line="209" w:lineRule="exact"/>
              <w:ind w:right="81"/>
              <w:jc w:val="right"/>
              <w:rPr>
                <w:sz w:val="18"/>
              </w:rPr>
            </w:pPr>
            <w:r>
              <w:rPr>
                <w:color w:val="252525"/>
                <w:sz w:val="18"/>
              </w:rPr>
              <w:t>6,590</w:t>
            </w:r>
          </w:p>
        </w:tc>
        <w:tc>
          <w:tcPr>
            <w:tcW w:w="1457" w:type="dxa"/>
          </w:tcPr>
          <w:p w14:paraId="602702C3" w14:textId="77777777" w:rsidR="00E1198C" w:rsidRDefault="00000000">
            <w:pPr>
              <w:pStyle w:val="TableParagraph"/>
              <w:spacing w:line="209" w:lineRule="exact"/>
              <w:ind w:right="62"/>
              <w:jc w:val="right"/>
              <w:rPr>
                <w:sz w:val="18"/>
              </w:rPr>
            </w:pPr>
            <w:r>
              <w:rPr>
                <w:color w:val="252525"/>
                <w:sz w:val="18"/>
              </w:rPr>
              <w:t>10,937</w:t>
            </w:r>
          </w:p>
        </w:tc>
      </w:tr>
      <w:tr w:rsidR="00E1198C" w14:paraId="2F88266C" w14:textId="77777777">
        <w:trPr>
          <w:trHeight w:val="227"/>
        </w:trPr>
        <w:tc>
          <w:tcPr>
            <w:tcW w:w="3984" w:type="dxa"/>
          </w:tcPr>
          <w:p w14:paraId="05F30A50" w14:textId="77777777" w:rsidR="00E1198C" w:rsidRDefault="00000000">
            <w:pPr>
              <w:pStyle w:val="TableParagraph"/>
              <w:spacing w:before="5" w:line="202" w:lineRule="exact"/>
              <w:ind w:left="50"/>
              <w:rPr>
                <w:sz w:val="18"/>
              </w:rPr>
            </w:pPr>
            <w:r>
              <w:rPr>
                <w:color w:val="252525"/>
                <w:sz w:val="18"/>
              </w:rPr>
              <w:t>Operating profit/loss (EBIT)</w:t>
            </w:r>
          </w:p>
        </w:tc>
        <w:tc>
          <w:tcPr>
            <w:tcW w:w="1626" w:type="dxa"/>
          </w:tcPr>
          <w:p w14:paraId="57DF455A" w14:textId="77777777" w:rsidR="00E1198C" w:rsidRDefault="00000000">
            <w:pPr>
              <w:pStyle w:val="TableParagraph"/>
              <w:spacing w:before="5" w:line="202" w:lineRule="exact"/>
              <w:ind w:right="80"/>
              <w:jc w:val="right"/>
              <w:rPr>
                <w:sz w:val="18"/>
              </w:rPr>
            </w:pPr>
            <w:r>
              <w:rPr>
                <w:color w:val="252525"/>
                <w:sz w:val="18"/>
              </w:rPr>
              <w:t>(36,811)</w:t>
            </w:r>
          </w:p>
        </w:tc>
        <w:tc>
          <w:tcPr>
            <w:tcW w:w="1534" w:type="dxa"/>
          </w:tcPr>
          <w:p w14:paraId="2B746091" w14:textId="77777777" w:rsidR="00E1198C" w:rsidRDefault="00000000">
            <w:pPr>
              <w:pStyle w:val="TableParagraph"/>
              <w:spacing w:before="5" w:line="202" w:lineRule="exact"/>
              <w:ind w:right="140"/>
              <w:jc w:val="right"/>
              <w:rPr>
                <w:sz w:val="18"/>
              </w:rPr>
            </w:pPr>
            <w:r>
              <w:rPr>
                <w:color w:val="252525"/>
                <w:sz w:val="18"/>
              </w:rPr>
              <w:t>(27,242)</w:t>
            </w:r>
          </w:p>
        </w:tc>
        <w:tc>
          <w:tcPr>
            <w:tcW w:w="1655" w:type="dxa"/>
          </w:tcPr>
          <w:p w14:paraId="2AA97078" w14:textId="77777777" w:rsidR="00E1198C" w:rsidRDefault="00000000">
            <w:pPr>
              <w:pStyle w:val="TableParagraph"/>
              <w:spacing w:before="5" w:line="202" w:lineRule="exact"/>
              <w:ind w:right="77"/>
              <w:jc w:val="right"/>
              <w:rPr>
                <w:sz w:val="18"/>
              </w:rPr>
            </w:pPr>
            <w:r>
              <w:rPr>
                <w:color w:val="252525"/>
                <w:sz w:val="18"/>
              </w:rPr>
              <w:t>(8,552)</w:t>
            </w:r>
          </w:p>
        </w:tc>
        <w:tc>
          <w:tcPr>
            <w:tcW w:w="1457" w:type="dxa"/>
          </w:tcPr>
          <w:p w14:paraId="414C849C" w14:textId="77777777" w:rsidR="00E1198C" w:rsidRDefault="00000000">
            <w:pPr>
              <w:pStyle w:val="TableParagraph"/>
              <w:spacing w:before="5" w:line="202" w:lineRule="exact"/>
              <w:ind w:right="55"/>
              <w:jc w:val="right"/>
              <w:rPr>
                <w:sz w:val="18"/>
              </w:rPr>
            </w:pPr>
            <w:r>
              <w:rPr>
                <w:color w:val="252525"/>
                <w:sz w:val="18"/>
              </w:rPr>
              <w:t>(6,016)</w:t>
            </w:r>
          </w:p>
        </w:tc>
      </w:tr>
      <w:tr w:rsidR="00E1198C" w14:paraId="58597775" w14:textId="77777777">
        <w:trPr>
          <w:trHeight w:val="442"/>
        </w:trPr>
        <w:tc>
          <w:tcPr>
            <w:tcW w:w="3984" w:type="dxa"/>
          </w:tcPr>
          <w:p w14:paraId="6F201C89" w14:textId="3049319F" w:rsidR="00E1198C" w:rsidRDefault="00000000" w:rsidP="000934DB">
            <w:pPr>
              <w:pStyle w:val="TableParagraph"/>
              <w:spacing w:line="211" w:lineRule="exact"/>
              <w:ind w:left="50"/>
              <w:rPr>
                <w:sz w:val="18"/>
              </w:rPr>
            </w:pPr>
            <w:r>
              <w:rPr>
                <w:sz w:val="18"/>
              </w:rPr>
              <w:t>Operating profit/loss adjusted for depreciation and amortization (EBITDA), including:</w:t>
            </w:r>
          </w:p>
        </w:tc>
        <w:tc>
          <w:tcPr>
            <w:tcW w:w="1626" w:type="dxa"/>
          </w:tcPr>
          <w:p w14:paraId="3DF3A643" w14:textId="77777777" w:rsidR="00E1198C" w:rsidRDefault="00000000">
            <w:pPr>
              <w:pStyle w:val="TableParagraph"/>
              <w:spacing w:before="104"/>
              <w:ind w:right="86"/>
              <w:jc w:val="right"/>
              <w:rPr>
                <w:sz w:val="18"/>
              </w:rPr>
            </w:pPr>
            <w:r>
              <w:rPr>
                <w:color w:val="252525"/>
                <w:sz w:val="18"/>
              </w:rPr>
              <w:t>15,048</w:t>
            </w:r>
          </w:p>
        </w:tc>
        <w:tc>
          <w:tcPr>
            <w:tcW w:w="1534" w:type="dxa"/>
          </w:tcPr>
          <w:p w14:paraId="473E20CC" w14:textId="77777777" w:rsidR="00E1198C" w:rsidRDefault="00000000">
            <w:pPr>
              <w:pStyle w:val="TableParagraph"/>
              <w:spacing w:before="104"/>
              <w:ind w:right="139"/>
              <w:jc w:val="right"/>
              <w:rPr>
                <w:sz w:val="18"/>
              </w:rPr>
            </w:pPr>
            <w:r>
              <w:rPr>
                <w:color w:val="252525"/>
                <w:sz w:val="18"/>
              </w:rPr>
              <w:t>22,774</w:t>
            </w:r>
          </w:p>
        </w:tc>
        <w:tc>
          <w:tcPr>
            <w:tcW w:w="1655" w:type="dxa"/>
          </w:tcPr>
          <w:p w14:paraId="357CFE63" w14:textId="77777777" w:rsidR="00E1198C" w:rsidRDefault="00000000">
            <w:pPr>
              <w:pStyle w:val="TableParagraph"/>
              <w:spacing w:before="104"/>
              <w:ind w:right="83"/>
              <w:jc w:val="right"/>
              <w:rPr>
                <w:sz w:val="18"/>
              </w:rPr>
            </w:pPr>
            <w:r>
              <w:rPr>
                <w:color w:val="252525"/>
                <w:sz w:val="18"/>
              </w:rPr>
              <w:t>3,496</w:t>
            </w:r>
          </w:p>
        </w:tc>
        <w:tc>
          <w:tcPr>
            <w:tcW w:w="1457" w:type="dxa"/>
          </w:tcPr>
          <w:p w14:paraId="1737F25C" w14:textId="77777777" w:rsidR="00E1198C" w:rsidRDefault="00000000">
            <w:pPr>
              <w:pStyle w:val="TableParagraph"/>
              <w:spacing w:before="104"/>
              <w:ind w:right="59"/>
              <w:jc w:val="right"/>
              <w:rPr>
                <w:sz w:val="18"/>
              </w:rPr>
            </w:pPr>
            <w:r>
              <w:rPr>
                <w:color w:val="252525"/>
                <w:sz w:val="18"/>
              </w:rPr>
              <w:t>5,029</w:t>
            </w:r>
          </w:p>
        </w:tc>
      </w:tr>
      <w:tr w:rsidR="00E1198C" w14:paraId="7529773E" w14:textId="77777777">
        <w:trPr>
          <w:trHeight w:val="225"/>
        </w:trPr>
        <w:tc>
          <w:tcPr>
            <w:tcW w:w="3984" w:type="dxa"/>
          </w:tcPr>
          <w:p w14:paraId="7B489AA4" w14:textId="77777777" w:rsidR="00E1198C" w:rsidRDefault="00000000">
            <w:pPr>
              <w:pStyle w:val="TableParagraph"/>
              <w:spacing w:line="205" w:lineRule="exact"/>
              <w:ind w:left="50"/>
              <w:rPr>
                <w:sz w:val="18"/>
              </w:rPr>
            </w:pPr>
            <w:r>
              <w:rPr>
                <w:color w:val="252525"/>
                <w:sz w:val="18"/>
              </w:rPr>
              <w:t>Generic drug segment</w:t>
            </w:r>
          </w:p>
        </w:tc>
        <w:tc>
          <w:tcPr>
            <w:tcW w:w="1626" w:type="dxa"/>
          </w:tcPr>
          <w:p w14:paraId="2B618F4C" w14:textId="77777777" w:rsidR="00E1198C" w:rsidRDefault="00000000">
            <w:pPr>
              <w:pStyle w:val="TableParagraph"/>
              <w:spacing w:line="205" w:lineRule="exact"/>
              <w:ind w:right="86"/>
              <w:jc w:val="right"/>
              <w:rPr>
                <w:sz w:val="18"/>
              </w:rPr>
            </w:pPr>
            <w:r>
              <w:rPr>
                <w:color w:val="252525"/>
                <w:sz w:val="18"/>
              </w:rPr>
              <w:t>56,019</w:t>
            </w:r>
          </w:p>
        </w:tc>
        <w:tc>
          <w:tcPr>
            <w:tcW w:w="1534" w:type="dxa"/>
          </w:tcPr>
          <w:p w14:paraId="58C32B0D" w14:textId="77777777" w:rsidR="00E1198C" w:rsidRDefault="00000000">
            <w:pPr>
              <w:pStyle w:val="TableParagraph"/>
              <w:spacing w:line="205" w:lineRule="exact"/>
              <w:ind w:right="135"/>
              <w:jc w:val="right"/>
              <w:rPr>
                <w:sz w:val="18"/>
              </w:rPr>
            </w:pPr>
            <w:r>
              <w:rPr>
                <w:color w:val="252525"/>
                <w:sz w:val="18"/>
              </w:rPr>
              <w:t>62,499</w:t>
            </w:r>
          </w:p>
        </w:tc>
        <w:tc>
          <w:tcPr>
            <w:tcW w:w="1655" w:type="dxa"/>
          </w:tcPr>
          <w:p w14:paraId="525786C3" w14:textId="77777777" w:rsidR="00E1198C" w:rsidRDefault="00000000">
            <w:pPr>
              <w:pStyle w:val="TableParagraph"/>
              <w:spacing w:line="205" w:lineRule="exact"/>
              <w:ind w:right="80"/>
              <w:jc w:val="right"/>
              <w:rPr>
                <w:sz w:val="18"/>
              </w:rPr>
            </w:pPr>
            <w:r>
              <w:rPr>
                <w:color w:val="252525"/>
                <w:sz w:val="18"/>
              </w:rPr>
              <w:t>13,015</w:t>
            </w:r>
          </w:p>
        </w:tc>
        <w:tc>
          <w:tcPr>
            <w:tcW w:w="1457" w:type="dxa"/>
          </w:tcPr>
          <w:p w14:paraId="02D9B60B" w14:textId="77777777" w:rsidR="00E1198C" w:rsidRDefault="00000000">
            <w:pPr>
              <w:pStyle w:val="TableParagraph"/>
              <w:spacing w:line="205" w:lineRule="exact"/>
              <w:ind w:right="62"/>
              <w:jc w:val="right"/>
              <w:rPr>
                <w:sz w:val="18"/>
              </w:rPr>
            </w:pPr>
            <w:r>
              <w:rPr>
                <w:color w:val="252525"/>
                <w:sz w:val="18"/>
              </w:rPr>
              <w:t>13,802</w:t>
            </w:r>
          </w:p>
        </w:tc>
      </w:tr>
      <w:tr w:rsidR="00E1198C" w14:paraId="4D7308E1" w14:textId="77777777">
        <w:trPr>
          <w:trHeight w:val="225"/>
        </w:trPr>
        <w:tc>
          <w:tcPr>
            <w:tcW w:w="3984" w:type="dxa"/>
          </w:tcPr>
          <w:p w14:paraId="52D08F05" w14:textId="77777777" w:rsidR="00E1198C" w:rsidRDefault="00000000">
            <w:pPr>
              <w:pStyle w:val="TableParagraph"/>
              <w:spacing w:line="205" w:lineRule="exact"/>
              <w:ind w:left="50"/>
              <w:rPr>
                <w:sz w:val="18"/>
              </w:rPr>
            </w:pPr>
            <w:r>
              <w:rPr>
                <w:color w:val="252525"/>
                <w:sz w:val="18"/>
              </w:rPr>
              <w:t>Innovative segment</w:t>
            </w:r>
          </w:p>
        </w:tc>
        <w:tc>
          <w:tcPr>
            <w:tcW w:w="1626" w:type="dxa"/>
          </w:tcPr>
          <w:p w14:paraId="260B8936" w14:textId="77777777" w:rsidR="00E1198C" w:rsidRDefault="00000000">
            <w:pPr>
              <w:pStyle w:val="TableParagraph"/>
              <w:spacing w:line="205" w:lineRule="exact"/>
              <w:ind w:right="80"/>
              <w:jc w:val="right"/>
              <w:rPr>
                <w:sz w:val="18"/>
              </w:rPr>
            </w:pPr>
            <w:r>
              <w:rPr>
                <w:color w:val="252525"/>
                <w:sz w:val="18"/>
              </w:rPr>
              <w:t>(40,971)</w:t>
            </w:r>
          </w:p>
        </w:tc>
        <w:tc>
          <w:tcPr>
            <w:tcW w:w="1534" w:type="dxa"/>
          </w:tcPr>
          <w:p w14:paraId="239BA0A7" w14:textId="77777777" w:rsidR="00E1198C" w:rsidRDefault="00000000">
            <w:pPr>
              <w:pStyle w:val="TableParagraph"/>
              <w:spacing w:line="205" w:lineRule="exact"/>
              <w:ind w:right="140"/>
              <w:jc w:val="right"/>
              <w:rPr>
                <w:sz w:val="18"/>
              </w:rPr>
            </w:pPr>
            <w:r>
              <w:rPr>
                <w:color w:val="252525"/>
                <w:sz w:val="18"/>
              </w:rPr>
              <w:t>(39,725)</w:t>
            </w:r>
          </w:p>
        </w:tc>
        <w:tc>
          <w:tcPr>
            <w:tcW w:w="1655" w:type="dxa"/>
          </w:tcPr>
          <w:p w14:paraId="246EFDD0" w14:textId="77777777" w:rsidR="00E1198C" w:rsidRDefault="00000000">
            <w:pPr>
              <w:pStyle w:val="TableParagraph"/>
              <w:spacing w:line="205" w:lineRule="exact"/>
              <w:ind w:right="74"/>
              <w:jc w:val="right"/>
              <w:rPr>
                <w:sz w:val="18"/>
              </w:rPr>
            </w:pPr>
            <w:r>
              <w:rPr>
                <w:color w:val="252525"/>
                <w:sz w:val="18"/>
              </w:rPr>
              <w:t>(9,519)</w:t>
            </w:r>
          </w:p>
        </w:tc>
        <w:tc>
          <w:tcPr>
            <w:tcW w:w="1457" w:type="dxa"/>
          </w:tcPr>
          <w:p w14:paraId="510BD18E" w14:textId="77777777" w:rsidR="00E1198C" w:rsidRDefault="00000000">
            <w:pPr>
              <w:pStyle w:val="TableParagraph"/>
              <w:spacing w:line="205" w:lineRule="exact"/>
              <w:ind w:right="50"/>
              <w:jc w:val="right"/>
              <w:rPr>
                <w:sz w:val="18"/>
              </w:rPr>
            </w:pPr>
            <w:r>
              <w:rPr>
                <w:color w:val="252525"/>
                <w:sz w:val="18"/>
              </w:rPr>
              <w:t>(8,772)</w:t>
            </w:r>
          </w:p>
        </w:tc>
      </w:tr>
      <w:tr w:rsidR="00E1198C" w14:paraId="7E697575" w14:textId="77777777">
        <w:trPr>
          <w:trHeight w:val="227"/>
        </w:trPr>
        <w:tc>
          <w:tcPr>
            <w:tcW w:w="3984" w:type="dxa"/>
          </w:tcPr>
          <w:p w14:paraId="512886D7" w14:textId="77777777" w:rsidR="00E1198C" w:rsidRDefault="00000000">
            <w:pPr>
              <w:pStyle w:val="TableParagraph"/>
              <w:spacing w:line="207" w:lineRule="exact"/>
              <w:ind w:left="50"/>
              <w:rPr>
                <w:sz w:val="18"/>
              </w:rPr>
            </w:pPr>
            <w:r>
              <w:rPr>
                <w:color w:val="252525"/>
                <w:sz w:val="18"/>
              </w:rPr>
              <w:t>Gross profit/(loss)</w:t>
            </w:r>
          </w:p>
        </w:tc>
        <w:tc>
          <w:tcPr>
            <w:tcW w:w="1626" w:type="dxa"/>
          </w:tcPr>
          <w:p w14:paraId="1AC9BD8D" w14:textId="77777777" w:rsidR="00E1198C" w:rsidRDefault="00000000">
            <w:pPr>
              <w:pStyle w:val="TableParagraph"/>
              <w:spacing w:line="207" w:lineRule="exact"/>
              <w:ind w:right="80"/>
              <w:jc w:val="right"/>
              <w:rPr>
                <w:sz w:val="18"/>
              </w:rPr>
            </w:pPr>
            <w:r>
              <w:rPr>
                <w:color w:val="252525"/>
                <w:sz w:val="18"/>
              </w:rPr>
              <w:t>(39,368)</w:t>
            </w:r>
          </w:p>
        </w:tc>
        <w:tc>
          <w:tcPr>
            <w:tcW w:w="1534" w:type="dxa"/>
          </w:tcPr>
          <w:p w14:paraId="48797CB9" w14:textId="77777777" w:rsidR="00E1198C" w:rsidRDefault="00000000">
            <w:pPr>
              <w:pStyle w:val="TableParagraph"/>
              <w:spacing w:line="207" w:lineRule="exact"/>
              <w:ind w:right="140"/>
              <w:jc w:val="right"/>
              <w:rPr>
                <w:sz w:val="18"/>
              </w:rPr>
            </w:pPr>
            <w:r>
              <w:rPr>
                <w:color w:val="252525"/>
                <w:sz w:val="18"/>
              </w:rPr>
              <w:t>(19,968)</w:t>
            </w:r>
          </w:p>
        </w:tc>
        <w:tc>
          <w:tcPr>
            <w:tcW w:w="1655" w:type="dxa"/>
          </w:tcPr>
          <w:p w14:paraId="77B2AF61" w14:textId="77777777" w:rsidR="00E1198C" w:rsidRDefault="00000000">
            <w:pPr>
              <w:pStyle w:val="TableParagraph"/>
              <w:spacing w:line="207" w:lineRule="exact"/>
              <w:ind w:right="74"/>
              <w:jc w:val="right"/>
              <w:rPr>
                <w:sz w:val="18"/>
              </w:rPr>
            </w:pPr>
            <w:r>
              <w:rPr>
                <w:color w:val="252525"/>
                <w:sz w:val="18"/>
              </w:rPr>
              <w:t>(9,146)</w:t>
            </w:r>
          </w:p>
        </w:tc>
        <w:tc>
          <w:tcPr>
            <w:tcW w:w="1457" w:type="dxa"/>
          </w:tcPr>
          <w:p w14:paraId="1CFF04D7" w14:textId="77777777" w:rsidR="00E1198C" w:rsidRDefault="00000000">
            <w:pPr>
              <w:pStyle w:val="TableParagraph"/>
              <w:spacing w:line="207" w:lineRule="exact"/>
              <w:ind w:right="50"/>
              <w:jc w:val="right"/>
              <w:rPr>
                <w:sz w:val="18"/>
              </w:rPr>
            </w:pPr>
            <w:r>
              <w:rPr>
                <w:color w:val="252525"/>
                <w:sz w:val="18"/>
              </w:rPr>
              <w:t>(4,410)</w:t>
            </w:r>
          </w:p>
        </w:tc>
      </w:tr>
      <w:tr w:rsidR="00E1198C" w14:paraId="771C49A2" w14:textId="77777777">
        <w:trPr>
          <w:trHeight w:val="343"/>
        </w:trPr>
        <w:tc>
          <w:tcPr>
            <w:tcW w:w="3984" w:type="dxa"/>
          </w:tcPr>
          <w:p w14:paraId="2ECC030A" w14:textId="77777777" w:rsidR="00E1198C" w:rsidRDefault="00000000">
            <w:pPr>
              <w:pStyle w:val="TableParagraph"/>
              <w:spacing w:line="217" w:lineRule="exact"/>
              <w:ind w:left="50"/>
              <w:rPr>
                <w:sz w:val="18"/>
              </w:rPr>
            </w:pPr>
            <w:r>
              <w:rPr>
                <w:color w:val="252525"/>
                <w:sz w:val="18"/>
              </w:rPr>
              <w:t>Net profit/(loss)</w:t>
            </w:r>
          </w:p>
        </w:tc>
        <w:tc>
          <w:tcPr>
            <w:tcW w:w="1626" w:type="dxa"/>
          </w:tcPr>
          <w:p w14:paraId="639D6215" w14:textId="77777777" w:rsidR="00E1198C" w:rsidRDefault="00000000">
            <w:pPr>
              <w:pStyle w:val="TableParagraph"/>
              <w:spacing w:line="217" w:lineRule="exact"/>
              <w:ind w:right="80"/>
              <w:jc w:val="right"/>
              <w:rPr>
                <w:sz w:val="18"/>
              </w:rPr>
            </w:pPr>
            <w:r>
              <w:rPr>
                <w:color w:val="252525"/>
                <w:sz w:val="18"/>
              </w:rPr>
              <w:t>(34,447)</w:t>
            </w:r>
          </w:p>
        </w:tc>
        <w:tc>
          <w:tcPr>
            <w:tcW w:w="1534" w:type="dxa"/>
          </w:tcPr>
          <w:p w14:paraId="27C8BC76" w14:textId="77777777" w:rsidR="00E1198C" w:rsidRDefault="00000000">
            <w:pPr>
              <w:pStyle w:val="TableParagraph"/>
              <w:spacing w:line="217" w:lineRule="exact"/>
              <w:ind w:right="140"/>
              <w:jc w:val="right"/>
              <w:rPr>
                <w:sz w:val="18"/>
              </w:rPr>
            </w:pPr>
            <w:r>
              <w:rPr>
                <w:color w:val="252525"/>
                <w:sz w:val="18"/>
              </w:rPr>
              <w:t>(28,124)</w:t>
            </w:r>
          </w:p>
        </w:tc>
        <w:tc>
          <w:tcPr>
            <w:tcW w:w="1655" w:type="dxa"/>
          </w:tcPr>
          <w:p w14:paraId="5AF2C5DE" w14:textId="77777777" w:rsidR="00E1198C" w:rsidRDefault="00000000">
            <w:pPr>
              <w:pStyle w:val="TableParagraph"/>
              <w:spacing w:line="217" w:lineRule="exact"/>
              <w:ind w:right="74"/>
              <w:jc w:val="right"/>
              <w:rPr>
                <w:sz w:val="18"/>
              </w:rPr>
            </w:pPr>
            <w:r>
              <w:rPr>
                <w:color w:val="252525"/>
                <w:sz w:val="18"/>
              </w:rPr>
              <w:t>(8,003)</w:t>
            </w:r>
          </w:p>
        </w:tc>
        <w:tc>
          <w:tcPr>
            <w:tcW w:w="1457" w:type="dxa"/>
          </w:tcPr>
          <w:p w14:paraId="2E9DCF09" w14:textId="77777777" w:rsidR="00E1198C" w:rsidRDefault="00000000">
            <w:pPr>
              <w:pStyle w:val="TableParagraph"/>
              <w:spacing w:line="217" w:lineRule="exact"/>
              <w:ind w:right="53"/>
              <w:jc w:val="right"/>
              <w:rPr>
                <w:sz w:val="18"/>
              </w:rPr>
            </w:pPr>
            <w:r>
              <w:rPr>
                <w:color w:val="252525"/>
                <w:sz w:val="18"/>
              </w:rPr>
              <w:t>(6,211)</w:t>
            </w:r>
          </w:p>
        </w:tc>
      </w:tr>
      <w:tr w:rsidR="00E1198C" w14:paraId="179314E6" w14:textId="77777777">
        <w:trPr>
          <w:trHeight w:val="343"/>
        </w:trPr>
        <w:tc>
          <w:tcPr>
            <w:tcW w:w="3984" w:type="dxa"/>
          </w:tcPr>
          <w:p w14:paraId="1341C2FE" w14:textId="77777777" w:rsidR="00E1198C" w:rsidRDefault="00000000">
            <w:pPr>
              <w:pStyle w:val="TableParagraph"/>
              <w:spacing w:before="115" w:line="208" w:lineRule="exact"/>
              <w:ind w:left="50"/>
              <w:rPr>
                <w:sz w:val="18"/>
              </w:rPr>
            </w:pPr>
            <w:r>
              <w:rPr>
                <w:color w:val="252525"/>
                <w:sz w:val="18"/>
              </w:rPr>
              <w:t>Net cash flow from operating activities</w:t>
            </w:r>
          </w:p>
        </w:tc>
        <w:tc>
          <w:tcPr>
            <w:tcW w:w="1626" w:type="dxa"/>
          </w:tcPr>
          <w:p w14:paraId="5CE2368E" w14:textId="77777777" w:rsidR="00E1198C" w:rsidRDefault="00000000">
            <w:pPr>
              <w:pStyle w:val="TableParagraph"/>
              <w:spacing w:before="115" w:line="208" w:lineRule="exact"/>
              <w:ind w:right="80"/>
              <w:jc w:val="right"/>
              <w:rPr>
                <w:sz w:val="18"/>
              </w:rPr>
            </w:pPr>
            <w:r>
              <w:rPr>
                <w:color w:val="252525"/>
                <w:sz w:val="18"/>
              </w:rPr>
              <w:t>(11,339)</w:t>
            </w:r>
          </w:p>
        </w:tc>
        <w:tc>
          <w:tcPr>
            <w:tcW w:w="1534" w:type="dxa"/>
          </w:tcPr>
          <w:p w14:paraId="6D53CCD6" w14:textId="77777777" w:rsidR="00E1198C" w:rsidRDefault="00000000">
            <w:pPr>
              <w:pStyle w:val="TableParagraph"/>
              <w:spacing w:before="115" w:line="208" w:lineRule="exact"/>
              <w:ind w:right="130"/>
              <w:jc w:val="right"/>
              <w:rPr>
                <w:sz w:val="18"/>
              </w:rPr>
            </w:pPr>
            <w:r>
              <w:rPr>
                <w:color w:val="252525"/>
                <w:sz w:val="18"/>
              </w:rPr>
              <w:t>(8,314)</w:t>
            </w:r>
          </w:p>
        </w:tc>
        <w:tc>
          <w:tcPr>
            <w:tcW w:w="1655" w:type="dxa"/>
          </w:tcPr>
          <w:p w14:paraId="42E6131F" w14:textId="77777777" w:rsidR="00E1198C" w:rsidRDefault="00000000">
            <w:pPr>
              <w:pStyle w:val="TableParagraph"/>
              <w:spacing w:before="115" w:line="208" w:lineRule="exact"/>
              <w:ind w:right="74"/>
              <w:jc w:val="right"/>
              <w:rPr>
                <w:sz w:val="18"/>
              </w:rPr>
            </w:pPr>
            <w:r>
              <w:rPr>
                <w:color w:val="252525"/>
                <w:sz w:val="18"/>
              </w:rPr>
              <w:t>(2,634)</w:t>
            </w:r>
          </w:p>
        </w:tc>
        <w:tc>
          <w:tcPr>
            <w:tcW w:w="1457" w:type="dxa"/>
          </w:tcPr>
          <w:p w14:paraId="0F785CF6" w14:textId="77777777" w:rsidR="00E1198C" w:rsidRDefault="00000000">
            <w:pPr>
              <w:pStyle w:val="TableParagraph"/>
              <w:spacing w:before="115" w:line="208" w:lineRule="exact"/>
              <w:ind w:right="50"/>
              <w:jc w:val="right"/>
              <w:rPr>
                <w:sz w:val="18"/>
              </w:rPr>
            </w:pPr>
            <w:r>
              <w:rPr>
                <w:color w:val="252525"/>
                <w:sz w:val="18"/>
              </w:rPr>
              <w:t>(1,836)</w:t>
            </w:r>
          </w:p>
        </w:tc>
      </w:tr>
      <w:tr w:rsidR="00E1198C" w14:paraId="59156EEC" w14:textId="77777777">
        <w:trPr>
          <w:trHeight w:val="414"/>
        </w:trPr>
        <w:tc>
          <w:tcPr>
            <w:tcW w:w="3984" w:type="dxa"/>
          </w:tcPr>
          <w:p w14:paraId="005B5160" w14:textId="33A7F652" w:rsidR="00E1198C" w:rsidRDefault="00000000" w:rsidP="000934DB">
            <w:pPr>
              <w:pStyle w:val="TableParagraph"/>
              <w:spacing w:line="214" w:lineRule="exact"/>
              <w:ind w:left="50" w:right="125"/>
              <w:rPr>
                <w:sz w:val="18"/>
              </w:rPr>
            </w:pPr>
            <w:r>
              <w:rPr>
                <w:sz w:val="18"/>
              </w:rPr>
              <w:t>Net cash flow from investment activities</w:t>
            </w:r>
          </w:p>
        </w:tc>
        <w:tc>
          <w:tcPr>
            <w:tcW w:w="1626" w:type="dxa"/>
          </w:tcPr>
          <w:p w14:paraId="4A4D7CE8" w14:textId="77777777" w:rsidR="00E1198C" w:rsidRDefault="00000000">
            <w:pPr>
              <w:pStyle w:val="TableParagraph"/>
              <w:spacing w:before="98"/>
              <w:ind w:right="81"/>
              <w:jc w:val="right"/>
              <w:rPr>
                <w:sz w:val="18"/>
              </w:rPr>
            </w:pPr>
            <w:r>
              <w:rPr>
                <w:color w:val="252525"/>
                <w:sz w:val="18"/>
              </w:rPr>
              <w:t>(7,494)</w:t>
            </w:r>
          </w:p>
        </w:tc>
        <w:tc>
          <w:tcPr>
            <w:tcW w:w="1534" w:type="dxa"/>
          </w:tcPr>
          <w:p w14:paraId="19BDBBFE" w14:textId="77777777" w:rsidR="00E1198C" w:rsidRDefault="00000000">
            <w:pPr>
              <w:pStyle w:val="TableParagraph"/>
              <w:spacing w:before="98"/>
              <w:ind w:right="134"/>
              <w:jc w:val="right"/>
              <w:rPr>
                <w:sz w:val="18"/>
              </w:rPr>
            </w:pPr>
            <w:r>
              <w:rPr>
                <w:color w:val="252525"/>
                <w:sz w:val="18"/>
              </w:rPr>
              <w:t>(21,640)</w:t>
            </w:r>
          </w:p>
        </w:tc>
        <w:tc>
          <w:tcPr>
            <w:tcW w:w="1655" w:type="dxa"/>
          </w:tcPr>
          <w:p w14:paraId="1EE1B5F9" w14:textId="77777777" w:rsidR="00E1198C" w:rsidRDefault="00000000">
            <w:pPr>
              <w:pStyle w:val="TableParagraph"/>
              <w:spacing w:before="98"/>
              <w:ind w:right="78"/>
              <w:jc w:val="right"/>
              <w:rPr>
                <w:sz w:val="18"/>
              </w:rPr>
            </w:pPr>
            <w:r>
              <w:rPr>
                <w:color w:val="252525"/>
                <w:sz w:val="18"/>
              </w:rPr>
              <w:t>(1,741)</w:t>
            </w:r>
          </w:p>
        </w:tc>
        <w:tc>
          <w:tcPr>
            <w:tcW w:w="1457" w:type="dxa"/>
          </w:tcPr>
          <w:p w14:paraId="540EDBDC" w14:textId="77777777" w:rsidR="00E1198C" w:rsidRDefault="00000000">
            <w:pPr>
              <w:pStyle w:val="TableParagraph"/>
              <w:spacing w:before="98"/>
              <w:ind w:right="54"/>
              <w:jc w:val="right"/>
              <w:rPr>
                <w:sz w:val="18"/>
              </w:rPr>
            </w:pPr>
            <w:r>
              <w:rPr>
                <w:color w:val="252525"/>
                <w:sz w:val="18"/>
              </w:rPr>
              <w:t>(4,779)</w:t>
            </w:r>
          </w:p>
        </w:tc>
      </w:tr>
      <w:tr w:rsidR="00E1198C" w14:paraId="336F325F" w14:textId="77777777">
        <w:trPr>
          <w:trHeight w:val="247"/>
        </w:trPr>
        <w:tc>
          <w:tcPr>
            <w:tcW w:w="3984" w:type="dxa"/>
          </w:tcPr>
          <w:p w14:paraId="264D3212" w14:textId="77777777" w:rsidR="00E1198C" w:rsidRDefault="00000000">
            <w:pPr>
              <w:pStyle w:val="TableParagraph"/>
              <w:spacing w:before="21" w:line="206" w:lineRule="exact"/>
              <w:ind w:left="50"/>
              <w:rPr>
                <w:sz w:val="18"/>
              </w:rPr>
            </w:pPr>
            <w:r>
              <w:rPr>
                <w:color w:val="252525"/>
                <w:sz w:val="18"/>
              </w:rPr>
              <w:t>Net cash flow from financial activities</w:t>
            </w:r>
          </w:p>
        </w:tc>
        <w:tc>
          <w:tcPr>
            <w:tcW w:w="1626" w:type="dxa"/>
          </w:tcPr>
          <w:p w14:paraId="7A86AA50" w14:textId="77777777" w:rsidR="00E1198C" w:rsidRDefault="00000000">
            <w:pPr>
              <w:pStyle w:val="TableParagraph"/>
              <w:spacing w:before="21" w:line="206" w:lineRule="exact"/>
              <w:ind w:right="86"/>
              <w:jc w:val="right"/>
              <w:rPr>
                <w:sz w:val="18"/>
              </w:rPr>
            </w:pPr>
            <w:r>
              <w:rPr>
                <w:color w:val="252525"/>
                <w:sz w:val="18"/>
              </w:rPr>
              <w:t>13,323</w:t>
            </w:r>
          </w:p>
        </w:tc>
        <w:tc>
          <w:tcPr>
            <w:tcW w:w="1534" w:type="dxa"/>
          </w:tcPr>
          <w:p w14:paraId="1B40ADBC" w14:textId="77777777" w:rsidR="00E1198C" w:rsidRDefault="00000000">
            <w:pPr>
              <w:pStyle w:val="TableParagraph"/>
              <w:spacing w:before="21" w:line="206" w:lineRule="exact"/>
              <w:ind w:right="140"/>
              <w:jc w:val="right"/>
              <w:rPr>
                <w:sz w:val="18"/>
              </w:rPr>
            </w:pPr>
            <w:r>
              <w:rPr>
                <w:color w:val="252525"/>
                <w:sz w:val="18"/>
              </w:rPr>
              <w:t>(20,589)</w:t>
            </w:r>
          </w:p>
        </w:tc>
        <w:tc>
          <w:tcPr>
            <w:tcW w:w="1655" w:type="dxa"/>
          </w:tcPr>
          <w:p w14:paraId="1B55C3B7" w14:textId="77777777" w:rsidR="00E1198C" w:rsidRDefault="00000000">
            <w:pPr>
              <w:pStyle w:val="TableParagraph"/>
              <w:spacing w:before="21" w:line="206" w:lineRule="exact"/>
              <w:ind w:right="81"/>
              <w:jc w:val="right"/>
              <w:rPr>
                <w:sz w:val="18"/>
              </w:rPr>
            </w:pPr>
            <w:r>
              <w:rPr>
                <w:color w:val="252525"/>
                <w:sz w:val="18"/>
              </w:rPr>
              <w:t>3,095</w:t>
            </w:r>
          </w:p>
        </w:tc>
        <w:tc>
          <w:tcPr>
            <w:tcW w:w="1457" w:type="dxa"/>
          </w:tcPr>
          <w:p w14:paraId="444202B8" w14:textId="77777777" w:rsidR="00E1198C" w:rsidRDefault="00000000">
            <w:pPr>
              <w:pStyle w:val="TableParagraph"/>
              <w:spacing w:before="21" w:line="206" w:lineRule="exact"/>
              <w:ind w:right="50"/>
              <w:jc w:val="right"/>
              <w:rPr>
                <w:sz w:val="18"/>
              </w:rPr>
            </w:pPr>
            <w:r>
              <w:rPr>
                <w:color w:val="252525"/>
                <w:sz w:val="18"/>
              </w:rPr>
              <w:t>(4,547)</w:t>
            </w:r>
          </w:p>
        </w:tc>
      </w:tr>
      <w:tr w:rsidR="00E1198C" w14:paraId="0EAC1795" w14:textId="77777777">
        <w:trPr>
          <w:trHeight w:val="339"/>
        </w:trPr>
        <w:tc>
          <w:tcPr>
            <w:tcW w:w="3984" w:type="dxa"/>
          </w:tcPr>
          <w:p w14:paraId="4BEC4512" w14:textId="77777777" w:rsidR="00E1198C" w:rsidRDefault="00000000">
            <w:pPr>
              <w:pStyle w:val="TableParagraph"/>
              <w:spacing w:line="219" w:lineRule="exact"/>
              <w:ind w:left="50"/>
              <w:rPr>
                <w:sz w:val="18"/>
              </w:rPr>
            </w:pPr>
            <w:r>
              <w:rPr>
                <w:color w:val="252525"/>
                <w:sz w:val="18"/>
              </w:rPr>
              <w:t>Total net cash flows</w:t>
            </w:r>
          </w:p>
        </w:tc>
        <w:tc>
          <w:tcPr>
            <w:tcW w:w="1626" w:type="dxa"/>
          </w:tcPr>
          <w:p w14:paraId="4222A638" w14:textId="77777777" w:rsidR="00E1198C" w:rsidRDefault="00000000">
            <w:pPr>
              <w:pStyle w:val="TableParagraph"/>
              <w:spacing w:line="219" w:lineRule="exact"/>
              <w:ind w:right="81"/>
              <w:jc w:val="right"/>
              <w:rPr>
                <w:sz w:val="18"/>
              </w:rPr>
            </w:pPr>
            <w:r>
              <w:rPr>
                <w:color w:val="252525"/>
                <w:sz w:val="18"/>
              </w:rPr>
              <w:t>(5,511)</w:t>
            </w:r>
          </w:p>
        </w:tc>
        <w:tc>
          <w:tcPr>
            <w:tcW w:w="1534" w:type="dxa"/>
          </w:tcPr>
          <w:p w14:paraId="464F94A6" w14:textId="77777777" w:rsidR="00E1198C" w:rsidRDefault="00000000">
            <w:pPr>
              <w:pStyle w:val="TableParagraph"/>
              <w:spacing w:line="219" w:lineRule="exact"/>
              <w:ind w:right="140"/>
              <w:jc w:val="right"/>
              <w:rPr>
                <w:sz w:val="18"/>
              </w:rPr>
            </w:pPr>
            <w:r>
              <w:rPr>
                <w:color w:val="252525"/>
                <w:sz w:val="18"/>
              </w:rPr>
              <w:t>(50,543)</w:t>
            </w:r>
          </w:p>
        </w:tc>
        <w:tc>
          <w:tcPr>
            <w:tcW w:w="1655" w:type="dxa"/>
          </w:tcPr>
          <w:p w14:paraId="76068A21" w14:textId="77777777" w:rsidR="00E1198C" w:rsidRDefault="00000000">
            <w:pPr>
              <w:pStyle w:val="TableParagraph"/>
              <w:spacing w:line="219" w:lineRule="exact"/>
              <w:ind w:right="74"/>
              <w:jc w:val="right"/>
              <w:rPr>
                <w:sz w:val="18"/>
              </w:rPr>
            </w:pPr>
            <w:r>
              <w:rPr>
                <w:color w:val="252525"/>
                <w:sz w:val="18"/>
              </w:rPr>
              <w:t>(1,280)</w:t>
            </w:r>
          </w:p>
        </w:tc>
        <w:tc>
          <w:tcPr>
            <w:tcW w:w="1457" w:type="dxa"/>
          </w:tcPr>
          <w:p w14:paraId="73EE0E6B" w14:textId="77777777" w:rsidR="00E1198C" w:rsidRDefault="00000000">
            <w:pPr>
              <w:pStyle w:val="TableParagraph"/>
              <w:spacing w:line="219" w:lineRule="exact"/>
              <w:ind w:right="59"/>
              <w:jc w:val="right"/>
              <w:rPr>
                <w:sz w:val="18"/>
              </w:rPr>
            </w:pPr>
            <w:r>
              <w:rPr>
                <w:color w:val="252525"/>
                <w:sz w:val="18"/>
              </w:rPr>
              <w:t>(11,161)</w:t>
            </w:r>
          </w:p>
        </w:tc>
      </w:tr>
      <w:tr w:rsidR="00E1198C" w14:paraId="77A4550A" w14:textId="77777777">
        <w:trPr>
          <w:trHeight w:val="338"/>
        </w:trPr>
        <w:tc>
          <w:tcPr>
            <w:tcW w:w="3984" w:type="dxa"/>
          </w:tcPr>
          <w:p w14:paraId="7B117A94" w14:textId="77777777" w:rsidR="00E1198C" w:rsidRDefault="00000000">
            <w:pPr>
              <w:pStyle w:val="TableParagraph"/>
              <w:spacing w:before="112" w:line="206" w:lineRule="exact"/>
              <w:ind w:left="50"/>
              <w:rPr>
                <w:sz w:val="18"/>
              </w:rPr>
            </w:pPr>
            <w:r>
              <w:rPr>
                <w:color w:val="252525"/>
                <w:sz w:val="18"/>
              </w:rPr>
              <w:t>Number of shares</w:t>
            </w:r>
          </w:p>
        </w:tc>
        <w:tc>
          <w:tcPr>
            <w:tcW w:w="1626" w:type="dxa"/>
          </w:tcPr>
          <w:p w14:paraId="68987C98" w14:textId="77777777" w:rsidR="00E1198C" w:rsidRDefault="00000000">
            <w:pPr>
              <w:pStyle w:val="TableParagraph"/>
              <w:spacing w:before="110" w:line="209" w:lineRule="exact"/>
              <w:ind w:right="76"/>
              <w:jc w:val="right"/>
              <w:rPr>
                <w:sz w:val="18"/>
              </w:rPr>
            </w:pPr>
            <w:r>
              <w:rPr>
                <w:color w:val="252525"/>
                <w:sz w:val="18"/>
              </w:rPr>
              <w:t>53,856,500</w:t>
            </w:r>
          </w:p>
        </w:tc>
        <w:tc>
          <w:tcPr>
            <w:tcW w:w="1534" w:type="dxa"/>
          </w:tcPr>
          <w:p w14:paraId="3CF0C4BC" w14:textId="77777777" w:rsidR="00E1198C" w:rsidRDefault="00000000">
            <w:pPr>
              <w:pStyle w:val="TableParagraph"/>
              <w:spacing w:before="110" w:line="209" w:lineRule="exact"/>
              <w:ind w:right="136"/>
              <w:jc w:val="right"/>
              <w:rPr>
                <w:sz w:val="18"/>
              </w:rPr>
            </w:pPr>
            <w:r>
              <w:rPr>
                <w:color w:val="252525"/>
                <w:sz w:val="18"/>
              </w:rPr>
              <w:t>51,056,500</w:t>
            </w:r>
          </w:p>
        </w:tc>
        <w:tc>
          <w:tcPr>
            <w:tcW w:w="1655" w:type="dxa"/>
          </w:tcPr>
          <w:p w14:paraId="7BB84140" w14:textId="77777777" w:rsidR="00E1198C" w:rsidRDefault="00000000">
            <w:pPr>
              <w:pStyle w:val="TableParagraph"/>
              <w:spacing w:before="110" w:line="209" w:lineRule="exact"/>
              <w:ind w:right="91"/>
              <w:jc w:val="right"/>
              <w:rPr>
                <w:sz w:val="18"/>
              </w:rPr>
            </w:pPr>
            <w:r>
              <w:rPr>
                <w:color w:val="252525"/>
                <w:sz w:val="18"/>
              </w:rPr>
              <w:t>53,130,663</w:t>
            </w:r>
          </w:p>
        </w:tc>
        <w:tc>
          <w:tcPr>
            <w:tcW w:w="1457" w:type="dxa"/>
          </w:tcPr>
          <w:p w14:paraId="66AC3619" w14:textId="77777777" w:rsidR="00E1198C" w:rsidRDefault="00000000">
            <w:pPr>
              <w:pStyle w:val="TableParagraph"/>
              <w:spacing w:before="110" w:line="209" w:lineRule="exact"/>
              <w:ind w:right="67"/>
              <w:jc w:val="right"/>
              <w:rPr>
                <w:sz w:val="18"/>
              </w:rPr>
            </w:pPr>
            <w:r>
              <w:rPr>
                <w:color w:val="252525"/>
                <w:sz w:val="18"/>
              </w:rPr>
              <w:t>51,056,500</w:t>
            </w:r>
          </w:p>
        </w:tc>
      </w:tr>
      <w:tr w:rsidR="00E1198C" w14:paraId="29FFF354" w14:textId="77777777">
        <w:trPr>
          <w:trHeight w:val="229"/>
        </w:trPr>
        <w:tc>
          <w:tcPr>
            <w:tcW w:w="3984" w:type="dxa"/>
          </w:tcPr>
          <w:p w14:paraId="765F596A" w14:textId="77777777" w:rsidR="00E1198C" w:rsidRDefault="00000000">
            <w:pPr>
              <w:pStyle w:val="TableParagraph"/>
              <w:spacing w:line="209" w:lineRule="exact"/>
              <w:ind w:left="50"/>
              <w:rPr>
                <w:sz w:val="18"/>
              </w:rPr>
            </w:pPr>
            <w:r>
              <w:rPr>
                <w:color w:val="252525"/>
                <w:sz w:val="18"/>
              </w:rPr>
              <w:t>Net profit (loss) per share</w:t>
            </w:r>
          </w:p>
        </w:tc>
        <w:tc>
          <w:tcPr>
            <w:tcW w:w="1626" w:type="dxa"/>
          </w:tcPr>
          <w:p w14:paraId="42F63038" w14:textId="77777777" w:rsidR="00E1198C" w:rsidRDefault="00000000">
            <w:pPr>
              <w:pStyle w:val="TableParagraph"/>
              <w:spacing w:line="209" w:lineRule="exact"/>
              <w:ind w:right="89"/>
              <w:jc w:val="right"/>
              <w:rPr>
                <w:sz w:val="18"/>
              </w:rPr>
            </w:pPr>
            <w:r>
              <w:rPr>
                <w:color w:val="252525"/>
                <w:sz w:val="18"/>
              </w:rPr>
              <w:t>-0.66</w:t>
            </w:r>
          </w:p>
        </w:tc>
        <w:tc>
          <w:tcPr>
            <w:tcW w:w="1534" w:type="dxa"/>
          </w:tcPr>
          <w:p w14:paraId="79A49FCB" w14:textId="77777777" w:rsidR="00E1198C" w:rsidRDefault="00000000">
            <w:pPr>
              <w:pStyle w:val="TableParagraph"/>
              <w:spacing w:line="209" w:lineRule="exact"/>
              <w:ind w:right="135"/>
              <w:jc w:val="right"/>
              <w:rPr>
                <w:sz w:val="18"/>
              </w:rPr>
            </w:pPr>
            <w:r>
              <w:rPr>
                <w:color w:val="252525"/>
                <w:sz w:val="18"/>
              </w:rPr>
              <w:t>-0.55</w:t>
            </w:r>
          </w:p>
        </w:tc>
        <w:tc>
          <w:tcPr>
            <w:tcW w:w="1655" w:type="dxa"/>
          </w:tcPr>
          <w:p w14:paraId="3B932B94" w14:textId="77777777" w:rsidR="00E1198C" w:rsidRDefault="00000000">
            <w:pPr>
              <w:pStyle w:val="TableParagraph"/>
              <w:spacing w:line="209" w:lineRule="exact"/>
              <w:ind w:right="80"/>
              <w:jc w:val="right"/>
              <w:rPr>
                <w:sz w:val="18"/>
              </w:rPr>
            </w:pPr>
            <w:r>
              <w:rPr>
                <w:color w:val="252525"/>
                <w:sz w:val="18"/>
              </w:rPr>
              <w:t>-0.15</w:t>
            </w:r>
          </w:p>
        </w:tc>
        <w:tc>
          <w:tcPr>
            <w:tcW w:w="1457" w:type="dxa"/>
          </w:tcPr>
          <w:p w14:paraId="17FB97EC" w14:textId="77777777" w:rsidR="00E1198C" w:rsidRDefault="00000000">
            <w:pPr>
              <w:pStyle w:val="TableParagraph"/>
              <w:spacing w:line="209" w:lineRule="exact"/>
              <w:ind w:right="51"/>
              <w:jc w:val="right"/>
              <w:rPr>
                <w:sz w:val="18"/>
              </w:rPr>
            </w:pPr>
            <w:r>
              <w:rPr>
                <w:color w:val="252525"/>
                <w:sz w:val="18"/>
              </w:rPr>
              <w:t>-0.12</w:t>
            </w:r>
          </w:p>
        </w:tc>
      </w:tr>
      <w:tr w:rsidR="00E1198C" w14:paraId="10C4B216" w14:textId="77777777">
        <w:trPr>
          <w:trHeight w:val="343"/>
        </w:trPr>
        <w:tc>
          <w:tcPr>
            <w:tcW w:w="3984" w:type="dxa"/>
          </w:tcPr>
          <w:p w14:paraId="5B26B900" w14:textId="77777777" w:rsidR="00E1198C" w:rsidRDefault="00000000">
            <w:pPr>
              <w:pStyle w:val="TableParagraph"/>
              <w:spacing w:before="3"/>
              <w:ind w:left="50"/>
              <w:rPr>
                <w:sz w:val="18"/>
              </w:rPr>
            </w:pPr>
            <w:r>
              <w:rPr>
                <w:color w:val="252525"/>
                <w:sz w:val="18"/>
              </w:rPr>
              <w:t>Diluted net profit (loss) per share</w:t>
            </w:r>
          </w:p>
        </w:tc>
        <w:tc>
          <w:tcPr>
            <w:tcW w:w="1626" w:type="dxa"/>
          </w:tcPr>
          <w:p w14:paraId="77942CE2" w14:textId="77777777" w:rsidR="00E1198C" w:rsidRDefault="00000000">
            <w:pPr>
              <w:pStyle w:val="TableParagraph"/>
              <w:spacing w:before="3"/>
              <w:ind w:right="89"/>
              <w:jc w:val="right"/>
              <w:rPr>
                <w:sz w:val="18"/>
              </w:rPr>
            </w:pPr>
            <w:r>
              <w:rPr>
                <w:color w:val="252525"/>
                <w:sz w:val="18"/>
              </w:rPr>
              <w:t>-0.66</w:t>
            </w:r>
          </w:p>
        </w:tc>
        <w:tc>
          <w:tcPr>
            <w:tcW w:w="1534" w:type="dxa"/>
          </w:tcPr>
          <w:p w14:paraId="0A8ACBEC" w14:textId="77777777" w:rsidR="00E1198C" w:rsidRDefault="00000000">
            <w:pPr>
              <w:pStyle w:val="TableParagraph"/>
              <w:spacing w:before="3"/>
              <w:ind w:right="135"/>
              <w:jc w:val="right"/>
              <w:rPr>
                <w:sz w:val="18"/>
              </w:rPr>
            </w:pPr>
            <w:r>
              <w:rPr>
                <w:color w:val="252525"/>
                <w:sz w:val="18"/>
              </w:rPr>
              <w:t>-0.55</w:t>
            </w:r>
          </w:p>
        </w:tc>
        <w:tc>
          <w:tcPr>
            <w:tcW w:w="1655" w:type="dxa"/>
          </w:tcPr>
          <w:p w14:paraId="09BDCCEB" w14:textId="77777777" w:rsidR="00E1198C" w:rsidRDefault="00000000">
            <w:pPr>
              <w:pStyle w:val="TableParagraph"/>
              <w:spacing w:before="3"/>
              <w:ind w:right="80"/>
              <w:jc w:val="right"/>
              <w:rPr>
                <w:sz w:val="18"/>
              </w:rPr>
            </w:pPr>
            <w:r>
              <w:rPr>
                <w:color w:val="252525"/>
                <w:sz w:val="18"/>
              </w:rPr>
              <w:t>-0.15</w:t>
            </w:r>
          </w:p>
        </w:tc>
        <w:tc>
          <w:tcPr>
            <w:tcW w:w="1457" w:type="dxa"/>
          </w:tcPr>
          <w:p w14:paraId="516AFEFB" w14:textId="77777777" w:rsidR="00E1198C" w:rsidRDefault="00000000">
            <w:pPr>
              <w:pStyle w:val="TableParagraph"/>
              <w:spacing w:before="3"/>
              <w:ind w:right="51"/>
              <w:jc w:val="right"/>
              <w:rPr>
                <w:sz w:val="18"/>
              </w:rPr>
            </w:pPr>
            <w:r>
              <w:rPr>
                <w:color w:val="252525"/>
                <w:sz w:val="18"/>
              </w:rPr>
              <w:t>-0.12</w:t>
            </w:r>
          </w:p>
        </w:tc>
      </w:tr>
      <w:tr w:rsidR="00E1198C" w14:paraId="74A00364" w14:textId="77777777">
        <w:trPr>
          <w:trHeight w:val="335"/>
        </w:trPr>
        <w:tc>
          <w:tcPr>
            <w:tcW w:w="3984" w:type="dxa"/>
          </w:tcPr>
          <w:p w14:paraId="64F0B3BB" w14:textId="77777777" w:rsidR="00E1198C" w:rsidRDefault="00E1198C">
            <w:pPr>
              <w:pStyle w:val="TableParagraph"/>
              <w:rPr>
                <w:rFonts w:ascii="Times New Roman"/>
                <w:sz w:val="18"/>
              </w:rPr>
            </w:pPr>
          </w:p>
        </w:tc>
        <w:tc>
          <w:tcPr>
            <w:tcW w:w="1626" w:type="dxa"/>
          </w:tcPr>
          <w:p w14:paraId="012C008D" w14:textId="77777777" w:rsidR="00E1198C" w:rsidRDefault="00000000">
            <w:pPr>
              <w:pStyle w:val="TableParagraph"/>
              <w:spacing w:before="110" w:line="206" w:lineRule="exact"/>
              <w:ind w:left="150"/>
              <w:rPr>
                <w:sz w:val="18"/>
              </w:rPr>
            </w:pPr>
            <w:r>
              <w:rPr>
                <w:color w:val="252525"/>
                <w:sz w:val="18"/>
              </w:rPr>
              <w:t>Period ended</w:t>
            </w:r>
          </w:p>
        </w:tc>
        <w:tc>
          <w:tcPr>
            <w:tcW w:w="1534" w:type="dxa"/>
          </w:tcPr>
          <w:p w14:paraId="101DDF1E" w14:textId="77777777" w:rsidR="00E1198C" w:rsidRDefault="00000000">
            <w:pPr>
              <w:pStyle w:val="TableParagraph"/>
              <w:spacing w:before="110" w:line="206" w:lineRule="exact"/>
              <w:ind w:right="161"/>
              <w:jc w:val="right"/>
              <w:rPr>
                <w:sz w:val="18"/>
              </w:rPr>
            </w:pPr>
            <w:r>
              <w:rPr>
                <w:color w:val="252525"/>
                <w:sz w:val="18"/>
              </w:rPr>
              <w:t>Period ended</w:t>
            </w:r>
          </w:p>
        </w:tc>
        <w:tc>
          <w:tcPr>
            <w:tcW w:w="1655" w:type="dxa"/>
          </w:tcPr>
          <w:p w14:paraId="650536B9" w14:textId="77777777" w:rsidR="00E1198C" w:rsidRDefault="00000000">
            <w:pPr>
              <w:pStyle w:val="TableParagraph"/>
              <w:spacing w:before="110" w:line="206" w:lineRule="exact"/>
              <w:ind w:left="130"/>
              <w:rPr>
                <w:sz w:val="18"/>
              </w:rPr>
            </w:pPr>
            <w:r>
              <w:rPr>
                <w:color w:val="252525"/>
                <w:sz w:val="18"/>
              </w:rPr>
              <w:t>Period ended</w:t>
            </w:r>
          </w:p>
        </w:tc>
        <w:tc>
          <w:tcPr>
            <w:tcW w:w="1457" w:type="dxa"/>
          </w:tcPr>
          <w:p w14:paraId="14113EB9" w14:textId="77777777" w:rsidR="00E1198C" w:rsidRDefault="00000000">
            <w:pPr>
              <w:pStyle w:val="TableParagraph"/>
              <w:spacing w:before="110" w:line="206" w:lineRule="exact"/>
              <w:ind w:right="88"/>
              <w:jc w:val="right"/>
              <w:rPr>
                <w:sz w:val="18"/>
              </w:rPr>
            </w:pPr>
            <w:r>
              <w:rPr>
                <w:color w:val="252525"/>
                <w:sz w:val="18"/>
              </w:rPr>
              <w:t>Period ended</w:t>
            </w:r>
          </w:p>
        </w:tc>
      </w:tr>
      <w:tr w:rsidR="00E1198C" w14:paraId="4B3F254C" w14:textId="77777777">
        <w:trPr>
          <w:trHeight w:val="343"/>
        </w:trPr>
        <w:tc>
          <w:tcPr>
            <w:tcW w:w="3984" w:type="dxa"/>
          </w:tcPr>
          <w:p w14:paraId="39AEF868" w14:textId="77777777" w:rsidR="00E1198C" w:rsidRDefault="00E1198C">
            <w:pPr>
              <w:pStyle w:val="TableParagraph"/>
              <w:rPr>
                <w:rFonts w:ascii="Times New Roman"/>
                <w:sz w:val="18"/>
              </w:rPr>
            </w:pPr>
          </w:p>
        </w:tc>
        <w:tc>
          <w:tcPr>
            <w:tcW w:w="1626" w:type="dxa"/>
          </w:tcPr>
          <w:p w14:paraId="087C88F9" w14:textId="77777777" w:rsidR="00E1198C" w:rsidRDefault="00000000">
            <w:pPr>
              <w:pStyle w:val="TableParagraph"/>
              <w:spacing w:line="219" w:lineRule="exact"/>
              <w:ind w:left="207"/>
              <w:rPr>
                <w:sz w:val="18"/>
              </w:rPr>
            </w:pPr>
            <w:r>
              <w:rPr>
                <w:color w:val="252525"/>
                <w:sz w:val="18"/>
              </w:rPr>
              <w:t>12/31/2024</w:t>
            </w:r>
          </w:p>
        </w:tc>
        <w:tc>
          <w:tcPr>
            <w:tcW w:w="1534" w:type="dxa"/>
          </w:tcPr>
          <w:p w14:paraId="2C9F6E1B" w14:textId="77777777" w:rsidR="00E1198C" w:rsidRDefault="00000000">
            <w:pPr>
              <w:pStyle w:val="TableParagraph"/>
              <w:spacing w:line="219" w:lineRule="exact"/>
              <w:ind w:left="134"/>
              <w:rPr>
                <w:sz w:val="18"/>
              </w:rPr>
            </w:pPr>
            <w:r>
              <w:rPr>
                <w:color w:val="252525"/>
                <w:sz w:val="18"/>
              </w:rPr>
              <w:t>12/31/2023</w:t>
            </w:r>
          </w:p>
        </w:tc>
        <w:tc>
          <w:tcPr>
            <w:tcW w:w="1655" w:type="dxa"/>
          </w:tcPr>
          <w:p w14:paraId="7B4FDDBE" w14:textId="77777777" w:rsidR="00E1198C" w:rsidRDefault="00000000">
            <w:pPr>
              <w:pStyle w:val="TableParagraph"/>
              <w:spacing w:line="219" w:lineRule="exact"/>
              <w:ind w:left="198"/>
              <w:rPr>
                <w:sz w:val="18"/>
              </w:rPr>
            </w:pPr>
            <w:r>
              <w:rPr>
                <w:color w:val="252525"/>
                <w:sz w:val="18"/>
              </w:rPr>
              <w:t>12/31/2024</w:t>
            </w:r>
          </w:p>
        </w:tc>
        <w:tc>
          <w:tcPr>
            <w:tcW w:w="1457" w:type="dxa"/>
          </w:tcPr>
          <w:p w14:paraId="41FABD5B" w14:textId="77777777" w:rsidR="00E1198C" w:rsidRDefault="00000000">
            <w:pPr>
              <w:pStyle w:val="TableParagraph"/>
              <w:spacing w:line="219" w:lineRule="exact"/>
              <w:ind w:right="143"/>
              <w:jc w:val="right"/>
              <w:rPr>
                <w:sz w:val="18"/>
              </w:rPr>
            </w:pPr>
            <w:r>
              <w:rPr>
                <w:color w:val="252525"/>
                <w:sz w:val="18"/>
              </w:rPr>
              <w:t>12/31/2023</w:t>
            </w:r>
          </w:p>
        </w:tc>
      </w:tr>
      <w:tr w:rsidR="00E1198C" w14:paraId="73A09A78" w14:textId="77777777">
        <w:trPr>
          <w:trHeight w:val="348"/>
        </w:trPr>
        <w:tc>
          <w:tcPr>
            <w:tcW w:w="3984" w:type="dxa"/>
          </w:tcPr>
          <w:p w14:paraId="5086BB43" w14:textId="77777777" w:rsidR="00E1198C" w:rsidRDefault="00E1198C">
            <w:pPr>
              <w:pStyle w:val="TableParagraph"/>
              <w:rPr>
                <w:rFonts w:ascii="Times New Roman"/>
                <w:sz w:val="18"/>
              </w:rPr>
            </w:pPr>
          </w:p>
        </w:tc>
        <w:tc>
          <w:tcPr>
            <w:tcW w:w="1626" w:type="dxa"/>
          </w:tcPr>
          <w:p w14:paraId="5BCACD55" w14:textId="77777777" w:rsidR="00E1198C" w:rsidRDefault="00000000">
            <w:pPr>
              <w:pStyle w:val="TableParagraph"/>
              <w:spacing w:before="117" w:line="211" w:lineRule="exact"/>
              <w:ind w:left="488"/>
              <w:rPr>
                <w:sz w:val="18"/>
              </w:rPr>
            </w:pPr>
            <w:r>
              <w:rPr>
                <w:color w:val="252525"/>
                <w:sz w:val="18"/>
              </w:rPr>
              <w:t>PLN'000</w:t>
            </w:r>
          </w:p>
        </w:tc>
        <w:tc>
          <w:tcPr>
            <w:tcW w:w="1534" w:type="dxa"/>
          </w:tcPr>
          <w:p w14:paraId="0E342779" w14:textId="77777777" w:rsidR="00E1198C" w:rsidRDefault="00000000">
            <w:pPr>
              <w:pStyle w:val="TableParagraph"/>
              <w:spacing w:before="117" w:line="211" w:lineRule="exact"/>
              <w:ind w:left="415"/>
              <w:rPr>
                <w:sz w:val="18"/>
              </w:rPr>
            </w:pPr>
            <w:r>
              <w:rPr>
                <w:color w:val="252525"/>
                <w:sz w:val="18"/>
              </w:rPr>
              <w:t>PLN'000</w:t>
            </w:r>
          </w:p>
        </w:tc>
        <w:tc>
          <w:tcPr>
            <w:tcW w:w="1655" w:type="dxa"/>
          </w:tcPr>
          <w:p w14:paraId="01DB0E86" w14:textId="77777777" w:rsidR="00E1198C" w:rsidRDefault="00000000">
            <w:pPr>
              <w:pStyle w:val="TableParagraph"/>
              <w:spacing w:before="117" w:line="211" w:lineRule="exact"/>
              <w:ind w:left="479"/>
              <w:rPr>
                <w:sz w:val="18"/>
              </w:rPr>
            </w:pPr>
            <w:r>
              <w:rPr>
                <w:color w:val="252525"/>
                <w:sz w:val="18"/>
              </w:rPr>
              <w:t>EUR'000</w:t>
            </w:r>
          </w:p>
        </w:tc>
        <w:tc>
          <w:tcPr>
            <w:tcW w:w="1457" w:type="dxa"/>
          </w:tcPr>
          <w:p w14:paraId="4BC8DBAF" w14:textId="77777777" w:rsidR="00E1198C" w:rsidRDefault="00000000">
            <w:pPr>
              <w:pStyle w:val="TableParagraph"/>
              <w:spacing w:before="117" w:line="211" w:lineRule="exact"/>
              <w:ind w:left="422"/>
              <w:rPr>
                <w:sz w:val="18"/>
              </w:rPr>
            </w:pPr>
            <w:r>
              <w:rPr>
                <w:color w:val="252525"/>
                <w:sz w:val="18"/>
              </w:rPr>
              <w:t>EUR'000</w:t>
            </w:r>
          </w:p>
        </w:tc>
      </w:tr>
      <w:tr w:rsidR="00E1198C" w14:paraId="3982D813" w14:textId="77777777">
        <w:trPr>
          <w:trHeight w:val="230"/>
        </w:trPr>
        <w:tc>
          <w:tcPr>
            <w:tcW w:w="3984" w:type="dxa"/>
          </w:tcPr>
          <w:p w14:paraId="7352F2E3" w14:textId="77777777" w:rsidR="00E1198C" w:rsidRDefault="00000000">
            <w:pPr>
              <w:pStyle w:val="TableParagraph"/>
              <w:spacing w:before="5" w:line="206" w:lineRule="exact"/>
              <w:ind w:left="50"/>
              <w:rPr>
                <w:sz w:val="18"/>
              </w:rPr>
            </w:pPr>
            <w:r>
              <w:rPr>
                <w:color w:val="252525"/>
                <w:sz w:val="18"/>
              </w:rPr>
              <w:t>Total assets</w:t>
            </w:r>
          </w:p>
        </w:tc>
        <w:tc>
          <w:tcPr>
            <w:tcW w:w="1626" w:type="dxa"/>
          </w:tcPr>
          <w:p w14:paraId="503CF410" w14:textId="77777777" w:rsidR="00E1198C" w:rsidRDefault="00000000">
            <w:pPr>
              <w:pStyle w:val="TableParagraph"/>
              <w:spacing w:before="5" w:line="206" w:lineRule="exact"/>
              <w:ind w:right="97"/>
              <w:jc w:val="right"/>
              <w:rPr>
                <w:sz w:val="18"/>
              </w:rPr>
            </w:pPr>
            <w:r>
              <w:rPr>
                <w:color w:val="252525"/>
                <w:sz w:val="18"/>
              </w:rPr>
              <w:t>543,796</w:t>
            </w:r>
          </w:p>
        </w:tc>
        <w:tc>
          <w:tcPr>
            <w:tcW w:w="1534" w:type="dxa"/>
          </w:tcPr>
          <w:p w14:paraId="4D6BDE8E" w14:textId="77777777" w:rsidR="00E1198C" w:rsidRDefault="00000000">
            <w:pPr>
              <w:pStyle w:val="TableParagraph"/>
              <w:spacing w:before="5" w:line="206" w:lineRule="exact"/>
              <w:ind w:right="134"/>
              <w:jc w:val="right"/>
              <w:rPr>
                <w:sz w:val="18"/>
              </w:rPr>
            </w:pPr>
            <w:r>
              <w:rPr>
                <w:color w:val="252525"/>
                <w:sz w:val="18"/>
              </w:rPr>
              <w:t>569,308</w:t>
            </w:r>
          </w:p>
        </w:tc>
        <w:tc>
          <w:tcPr>
            <w:tcW w:w="1655" w:type="dxa"/>
          </w:tcPr>
          <w:p w14:paraId="3E45D822" w14:textId="77777777" w:rsidR="00E1198C" w:rsidRDefault="00000000">
            <w:pPr>
              <w:pStyle w:val="TableParagraph"/>
              <w:spacing w:before="5" w:line="206" w:lineRule="exact"/>
              <w:ind w:right="90"/>
              <w:jc w:val="right"/>
              <w:rPr>
                <w:sz w:val="18"/>
              </w:rPr>
            </w:pPr>
            <w:r>
              <w:rPr>
                <w:color w:val="252525"/>
                <w:sz w:val="18"/>
              </w:rPr>
              <w:t>127,263</w:t>
            </w:r>
          </w:p>
        </w:tc>
        <w:tc>
          <w:tcPr>
            <w:tcW w:w="1457" w:type="dxa"/>
          </w:tcPr>
          <w:p w14:paraId="1881756F" w14:textId="77777777" w:rsidR="00E1198C" w:rsidRDefault="00000000">
            <w:pPr>
              <w:pStyle w:val="TableParagraph"/>
              <w:spacing w:before="5" w:line="206" w:lineRule="exact"/>
              <w:ind w:right="61"/>
              <w:jc w:val="right"/>
              <w:rPr>
                <w:sz w:val="18"/>
              </w:rPr>
            </w:pPr>
            <w:r>
              <w:rPr>
                <w:color w:val="252525"/>
                <w:sz w:val="18"/>
              </w:rPr>
              <w:t>130,936</w:t>
            </w:r>
          </w:p>
        </w:tc>
      </w:tr>
      <w:tr w:rsidR="00E1198C" w14:paraId="3F9AF54C" w14:textId="77777777">
        <w:trPr>
          <w:trHeight w:val="225"/>
        </w:trPr>
        <w:tc>
          <w:tcPr>
            <w:tcW w:w="3984" w:type="dxa"/>
          </w:tcPr>
          <w:p w14:paraId="6BA825F2" w14:textId="77777777" w:rsidR="00E1198C" w:rsidRDefault="00000000">
            <w:pPr>
              <w:pStyle w:val="TableParagraph"/>
              <w:spacing w:line="205" w:lineRule="exact"/>
              <w:ind w:left="50"/>
              <w:rPr>
                <w:sz w:val="18"/>
              </w:rPr>
            </w:pPr>
            <w:r>
              <w:rPr>
                <w:color w:val="252525"/>
                <w:sz w:val="18"/>
              </w:rPr>
              <w:t>Liabilities and provisions for liabilities</w:t>
            </w:r>
          </w:p>
        </w:tc>
        <w:tc>
          <w:tcPr>
            <w:tcW w:w="1626" w:type="dxa"/>
          </w:tcPr>
          <w:p w14:paraId="2CC494F9" w14:textId="77777777" w:rsidR="00E1198C" w:rsidRDefault="00000000">
            <w:pPr>
              <w:pStyle w:val="TableParagraph"/>
              <w:spacing w:line="205" w:lineRule="exact"/>
              <w:ind w:right="86"/>
              <w:jc w:val="right"/>
              <w:rPr>
                <w:sz w:val="18"/>
              </w:rPr>
            </w:pPr>
            <w:r>
              <w:rPr>
                <w:color w:val="252525"/>
                <w:sz w:val="18"/>
              </w:rPr>
              <w:t>98,590</w:t>
            </w:r>
          </w:p>
        </w:tc>
        <w:tc>
          <w:tcPr>
            <w:tcW w:w="1534" w:type="dxa"/>
          </w:tcPr>
          <w:p w14:paraId="0C93E934" w14:textId="77777777" w:rsidR="00E1198C" w:rsidRDefault="00000000">
            <w:pPr>
              <w:pStyle w:val="TableParagraph"/>
              <w:spacing w:line="205" w:lineRule="exact"/>
              <w:ind w:right="134"/>
              <w:jc w:val="right"/>
              <w:rPr>
                <w:sz w:val="18"/>
              </w:rPr>
            </w:pPr>
            <w:r>
              <w:rPr>
                <w:color w:val="252525"/>
                <w:sz w:val="18"/>
              </w:rPr>
              <w:t>123,752</w:t>
            </w:r>
          </w:p>
        </w:tc>
        <w:tc>
          <w:tcPr>
            <w:tcW w:w="1655" w:type="dxa"/>
          </w:tcPr>
          <w:p w14:paraId="21663414" w14:textId="77777777" w:rsidR="00E1198C" w:rsidRDefault="00000000">
            <w:pPr>
              <w:pStyle w:val="TableParagraph"/>
              <w:spacing w:line="205" w:lineRule="exact"/>
              <w:ind w:right="80"/>
              <w:jc w:val="right"/>
              <w:rPr>
                <w:sz w:val="18"/>
              </w:rPr>
            </w:pPr>
            <w:r>
              <w:rPr>
                <w:color w:val="252525"/>
                <w:sz w:val="18"/>
              </w:rPr>
              <w:t>23,073</w:t>
            </w:r>
          </w:p>
        </w:tc>
        <w:tc>
          <w:tcPr>
            <w:tcW w:w="1457" w:type="dxa"/>
          </w:tcPr>
          <w:p w14:paraId="68E8A1FA" w14:textId="77777777" w:rsidR="00E1198C" w:rsidRDefault="00000000">
            <w:pPr>
              <w:pStyle w:val="TableParagraph"/>
              <w:spacing w:line="205" w:lineRule="exact"/>
              <w:ind w:right="62"/>
              <w:jc w:val="right"/>
              <w:rPr>
                <w:sz w:val="18"/>
              </w:rPr>
            </w:pPr>
            <w:r>
              <w:rPr>
                <w:color w:val="252525"/>
                <w:sz w:val="18"/>
              </w:rPr>
              <w:t>28,462</w:t>
            </w:r>
          </w:p>
        </w:tc>
      </w:tr>
      <w:tr w:rsidR="00E1198C" w14:paraId="03B87F76" w14:textId="77777777">
        <w:trPr>
          <w:trHeight w:val="225"/>
        </w:trPr>
        <w:tc>
          <w:tcPr>
            <w:tcW w:w="3984" w:type="dxa"/>
          </w:tcPr>
          <w:p w14:paraId="36C139A7" w14:textId="77777777" w:rsidR="00E1198C" w:rsidRDefault="00000000">
            <w:pPr>
              <w:pStyle w:val="TableParagraph"/>
              <w:spacing w:line="205" w:lineRule="exact"/>
              <w:ind w:left="50"/>
              <w:rPr>
                <w:sz w:val="18"/>
              </w:rPr>
            </w:pPr>
            <w:r>
              <w:rPr>
                <w:color w:val="252525"/>
                <w:sz w:val="18"/>
              </w:rPr>
              <w:t>Long-term liabilities</w:t>
            </w:r>
          </w:p>
        </w:tc>
        <w:tc>
          <w:tcPr>
            <w:tcW w:w="1626" w:type="dxa"/>
          </w:tcPr>
          <w:p w14:paraId="2DCD9BBA" w14:textId="77777777" w:rsidR="00E1198C" w:rsidRDefault="00000000">
            <w:pPr>
              <w:pStyle w:val="TableParagraph"/>
              <w:spacing w:line="205" w:lineRule="exact"/>
              <w:ind w:right="86"/>
              <w:jc w:val="right"/>
              <w:rPr>
                <w:sz w:val="18"/>
              </w:rPr>
            </w:pPr>
            <w:r>
              <w:rPr>
                <w:color w:val="252525"/>
                <w:sz w:val="18"/>
              </w:rPr>
              <w:t>31,691</w:t>
            </w:r>
          </w:p>
        </w:tc>
        <w:tc>
          <w:tcPr>
            <w:tcW w:w="1534" w:type="dxa"/>
          </w:tcPr>
          <w:p w14:paraId="43DC032A" w14:textId="77777777" w:rsidR="00E1198C" w:rsidRDefault="00000000">
            <w:pPr>
              <w:pStyle w:val="TableParagraph"/>
              <w:spacing w:line="205" w:lineRule="exact"/>
              <w:ind w:right="135"/>
              <w:jc w:val="right"/>
              <w:rPr>
                <w:sz w:val="18"/>
              </w:rPr>
            </w:pPr>
            <w:r>
              <w:rPr>
                <w:color w:val="252525"/>
                <w:sz w:val="18"/>
              </w:rPr>
              <w:t>37,415</w:t>
            </w:r>
          </w:p>
        </w:tc>
        <w:tc>
          <w:tcPr>
            <w:tcW w:w="1655" w:type="dxa"/>
          </w:tcPr>
          <w:p w14:paraId="6A723EDE" w14:textId="77777777" w:rsidR="00E1198C" w:rsidRDefault="00000000">
            <w:pPr>
              <w:pStyle w:val="TableParagraph"/>
              <w:spacing w:line="205" w:lineRule="exact"/>
              <w:ind w:right="81"/>
              <w:jc w:val="right"/>
              <w:rPr>
                <w:sz w:val="18"/>
              </w:rPr>
            </w:pPr>
            <w:r>
              <w:rPr>
                <w:color w:val="252525"/>
                <w:sz w:val="18"/>
              </w:rPr>
              <w:t>7,417</w:t>
            </w:r>
          </w:p>
        </w:tc>
        <w:tc>
          <w:tcPr>
            <w:tcW w:w="1457" w:type="dxa"/>
          </w:tcPr>
          <w:p w14:paraId="3BE2B7F8" w14:textId="77777777" w:rsidR="00E1198C" w:rsidRDefault="00000000">
            <w:pPr>
              <w:pStyle w:val="TableParagraph"/>
              <w:spacing w:line="205" w:lineRule="exact"/>
              <w:ind w:right="52"/>
              <w:jc w:val="right"/>
              <w:rPr>
                <w:sz w:val="18"/>
              </w:rPr>
            </w:pPr>
            <w:r>
              <w:rPr>
                <w:color w:val="252525"/>
                <w:sz w:val="18"/>
              </w:rPr>
              <w:t>8,605</w:t>
            </w:r>
          </w:p>
        </w:tc>
      </w:tr>
      <w:tr w:rsidR="00E1198C" w14:paraId="33BB9E69" w14:textId="77777777">
        <w:trPr>
          <w:trHeight w:val="225"/>
        </w:trPr>
        <w:tc>
          <w:tcPr>
            <w:tcW w:w="3984" w:type="dxa"/>
          </w:tcPr>
          <w:p w14:paraId="57FE8797" w14:textId="77777777" w:rsidR="00E1198C" w:rsidRDefault="00000000">
            <w:pPr>
              <w:pStyle w:val="TableParagraph"/>
              <w:spacing w:line="205" w:lineRule="exact"/>
              <w:ind w:left="50"/>
              <w:rPr>
                <w:sz w:val="18"/>
              </w:rPr>
            </w:pPr>
            <w:r>
              <w:rPr>
                <w:color w:val="252525"/>
                <w:sz w:val="18"/>
              </w:rPr>
              <w:t>Short-term liabilities</w:t>
            </w:r>
          </w:p>
        </w:tc>
        <w:tc>
          <w:tcPr>
            <w:tcW w:w="1626" w:type="dxa"/>
          </w:tcPr>
          <w:p w14:paraId="5AA48EC2" w14:textId="77777777" w:rsidR="00E1198C" w:rsidRDefault="00000000">
            <w:pPr>
              <w:pStyle w:val="TableParagraph"/>
              <w:spacing w:line="205" w:lineRule="exact"/>
              <w:ind w:right="86"/>
              <w:jc w:val="right"/>
              <w:rPr>
                <w:sz w:val="18"/>
              </w:rPr>
            </w:pPr>
            <w:r>
              <w:rPr>
                <w:color w:val="252525"/>
                <w:sz w:val="18"/>
              </w:rPr>
              <w:t>66,899</w:t>
            </w:r>
          </w:p>
        </w:tc>
        <w:tc>
          <w:tcPr>
            <w:tcW w:w="1534" w:type="dxa"/>
          </w:tcPr>
          <w:p w14:paraId="76059FAF" w14:textId="77777777" w:rsidR="00E1198C" w:rsidRDefault="00000000">
            <w:pPr>
              <w:pStyle w:val="TableParagraph"/>
              <w:spacing w:line="205" w:lineRule="exact"/>
              <w:ind w:right="135"/>
              <w:jc w:val="right"/>
              <w:rPr>
                <w:sz w:val="18"/>
              </w:rPr>
            </w:pPr>
            <w:r>
              <w:rPr>
                <w:color w:val="252525"/>
                <w:sz w:val="18"/>
              </w:rPr>
              <w:t>86,337</w:t>
            </w:r>
          </w:p>
        </w:tc>
        <w:tc>
          <w:tcPr>
            <w:tcW w:w="1655" w:type="dxa"/>
          </w:tcPr>
          <w:p w14:paraId="50CBFC67" w14:textId="77777777" w:rsidR="00E1198C" w:rsidRDefault="00000000">
            <w:pPr>
              <w:pStyle w:val="TableParagraph"/>
              <w:spacing w:line="205" w:lineRule="exact"/>
              <w:ind w:right="80"/>
              <w:jc w:val="right"/>
              <w:rPr>
                <w:sz w:val="18"/>
              </w:rPr>
            </w:pPr>
            <w:r>
              <w:rPr>
                <w:color w:val="252525"/>
                <w:sz w:val="18"/>
              </w:rPr>
              <w:t>15,656</w:t>
            </w:r>
          </w:p>
        </w:tc>
        <w:tc>
          <w:tcPr>
            <w:tcW w:w="1457" w:type="dxa"/>
          </w:tcPr>
          <w:p w14:paraId="3C9ED0C3" w14:textId="77777777" w:rsidR="00E1198C" w:rsidRDefault="00000000">
            <w:pPr>
              <w:pStyle w:val="TableParagraph"/>
              <w:spacing w:line="205" w:lineRule="exact"/>
              <w:ind w:right="62"/>
              <w:jc w:val="right"/>
              <w:rPr>
                <w:sz w:val="18"/>
              </w:rPr>
            </w:pPr>
            <w:r>
              <w:rPr>
                <w:color w:val="252525"/>
                <w:sz w:val="18"/>
              </w:rPr>
              <w:t>19,857</w:t>
            </w:r>
          </w:p>
        </w:tc>
      </w:tr>
      <w:tr w:rsidR="00E1198C" w14:paraId="7220422C" w14:textId="77777777">
        <w:trPr>
          <w:trHeight w:val="232"/>
        </w:trPr>
        <w:tc>
          <w:tcPr>
            <w:tcW w:w="3984" w:type="dxa"/>
          </w:tcPr>
          <w:p w14:paraId="3FB8E641" w14:textId="77777777" w:rsidR="00E1198C" w:rsidRDefault="00000000">
            <w:pPr>
              <w:pStyle w:val="TableParagraph"/>
              <w:spacing w:line="213" w:lineRule="exact"/>
              <w:ind w:left="50"/>
              <w:rPr>
                <w:sz w:val="18"/>
              </w:rPr>
            </w:pPr>
            <w:r>
              <w:rPr>
                <w:color w:val="252525"/>
                <w:sz w:val="18"/>
              </w:rPr>
              <w:t>Equity</w:t>
            </w:r>
          </w:p>
        </w:tc>
        <w:tc>
          <w:tcPr>
            <w:tcW w:w="1626" w:type="dxa"/>
          </w:tcPr>
          <w:p w14:paraId="336629B9" w14:textId="77777777" w:rsidR="00E1198C" w:rsidRDefault="00000000">
            <w:pPr>
              <w:pStyle w:val="TableParagraph"/>
              <w:spacing w:line="213" w:lineRule="exact"/>
              <w:ind w:right="97"/>
              <w:jc w:val="right"/>
              <w:rPr>
                <w:sz w:val="18"/>
              </w:rPr>
            </w:pPr>
            <w:r>
              <w:rPr>
                <w:color w:val="252525"/>
                <w:sz w:val="18"/>
              </w:rPr>
              <w:t>445,206</w:t>
            </w:r>
          </w:p>
        </w:tc>
        <w:tc>
          <w:tcPr>
            <w:tcW w:w="1534" w:type="dxa"/>
          </w:tcPr>
          <w:p w14:paraId="715B7D70" w14:textId="77777777" w:rsidR="00E1198C" w:rsidRDefault="00000000">
            <w:pPr>
              <w:pStyle w:val="TableParagraph"/>
              <w:spacing w:line="213" w:lineRule="exact"/>
              <w:ind w:right="134"/>
              <w:jc w:val="right"/>
              <w:rPr>
                <w:sz w:val="18"/>
              </w:rPr>
            </w:pPr>
            <w:r>
              <w:rPr>
                <w:color w:val="252525"/>
                <w:sz w:val="18"/>
              </w:rPr>
              <w:t>445,556</w:t>
            </w:r>
          </w:p>
        </w:tc>
        <w:tc>
          <w:tcPr>
            <w:tcW w:w="1655" w:type="dxa"/>
          </w:tcPr>
          <w:p w14:paraId="5DE82CB8" w14:textId="77777777" w:rsidR="00E1198C" w:rsidRDefault="00000000">
            <w:pPr>
              <w:pStyle w:val="TableParagraph"/>
              <w:spacing w:line="213" w:lineRule="exact"/>
              <w:ind w:right="90"/>
              <w:jc w:val="right"/>
              <w:rPr>
                <w:sz w:val="18"/>
              </w:rPr>
            </w:pPr>
            <w:r>
              <w:rPr>
                <w:color w:val="252525"/>
                <w:sz w:val="18"/>
              </w:rPr>
              <w:t>104,191</w:t>
            </w:r>
          </w:p>
        </w:tc>
        <w:tc>
          <w:tcPr>
            <w:tcW w:w="1457" w:type="dxa"/>
          </w:tcPr>
          <w:p w14:paraId="2F087293" w14:textId="77777777" w:rsidR="00E1198C" w:rsidRDefault="00000000">
            <w:pPr>
              <w:pStyle w:val="TableParagraph"/>
              <w:spacing w:line="213" w:lineRule="exact"/>
              <w:ind w:right="61"/>
              <w:jc w:val="right"/>
              <w:rPr>
                <w:sz w:val="18"/>
              </w:rPr>
            </w:pPr>
            <w:r>
              <w:rPr>
                <w:color w:val="252525"/>
                <w:sz w:val="18"/>
              </w:rPr>
              <w:t>102,474</w:t>
            </w:r>
          </w:p>
        </w:tc>
      </w:tr>
      <w:tr w:rsidR="00E1198C" w14:paraId="6A973E59" w14:textId="77777777">
        <w:trPr>
          <w:trHeight w:val="206"/>
        </w:trPr>
        <w:tc>
          <w:tcPr>
            <w:tcW w:w="3984" w:type="dxa"/>
          </w:tcPr>
          <w:p w14:paraId="5A978AD8" w14:textId="77777777" w:rsidR="00E1198C" w:rsidRDefault="00000000">
            <w:pPr>
              <w:pStyle w:val="TableParagraph"/>
              <w:spacing w:before="3" w:line="183" w:lineRule="exact"/>
              <w:ind w:left="50"/>
              <w:rPr>
                <w:sz w:val="18"/>
              </w:rPr>
            </w:pPr>
            <w:r>
              <w:rPr>
                <w:color w:val="252525"/>
                <w:sz w:val="18"/>
              </w:rPr>
              <w:t>Share capital</w:t>
            </w:r>
          </w:p>
        </w:tc>
        <w:tc>
          <w:tcPr>
            <w:tcW w:w="1626" w:type="dxa"/>
          </w:tcPr>
          <w:p w14:paraId="02B659DD" w14:textId="77777777" w:rsidR="00E1198C" w:rsidRDefault="00000000">
            <w:pPr>
              <w:pStyle w:val="TableParagraph"/>
              <w:spacing w:before="3" w:line="183" w:lineRule="exact"/>
              <w:ind w:right="88"/>
              <w:jc w:val="right"/>
              <w:rPr>
                <w:sz w:val="18"/>
              </w:rPr>
            </w:pPr>
            <w:r>
              <w:rPr>
                <w:color w:val="252525"/>
                <w:sz w:val="18"/>
              </w:rPr>
              <w:t>5,386</w:t>
            </w:r>
          </w:p>
        </w:tc>
        <w:tc>
          <w:tcPr>
            <w:tcW w:w="1534" w:type="dxa"/>
          </w:tcPr>
          <w:p w14:paraId="28A21B26" w14:textId="77777777" w:rsidR="00E1198C" w:rsidRDefault="00000000">
            <w:pPr>
              <w:pStyle w:val="TableParagraph"/>
              <w:spacing w:before="3" w:line="183" w:lineRule="exact"/>
              <w:ind w:right="136"/>
              <w:jc w:val="right"/>
              <w:rPr>
                <w:sz w:val="18"/>
              </w:rPr>
            </w:pPr>
            <w:r>
              <w:rPr>
                <w:color w:val="252525"/>
                <w:sz w:val="18"/>
              </w:rPr>
              <w:t>5,106</w:t>
            </w:r>
          </w:p>
        </w:tc>
        <w:tc>
          <w:tcPr>
            <w:tcW w:w="1655" w:type="dxa"/>
          </w:tcPr>
          <w:p w14:paraId="6DF84C8F" w14:textId="77777777" w:rsidR="00E1198C" w:rsidRDefault="00000000">
            <w:pPr>
              <w:pStyle w:val="TableParagraph"/>
              <w:spacing w:before="3" w:line="183" w:lineRule="exact"/>
              <w:ind w:right="81"/>
              <w:jc w:val="right"/>
              <w:rPr>
                <w:sz w:val="18"/>
              </w:rPr>
            </w:pPr>
            <w:r>
              <w:rPr>
                <w:color w:val="252525"/>
                <w:sz w:val="18"/>
              </w:rPr>
              <w:t>1,260</w:t>
            </w:r>
          </w:p>
        </w:tc>
        <w:tc>
          <w:tcPr>
            <w:tcW w:w="1457" w:type="dxa"/>
          </w:tcPr>
          <w:p w14:paraId="699DECED" w14:textId="77777777" w:rsidR="00E1198C" w:rsidRDefault="00000000">
            <w:pPr>
              <w:pStyle w:val="TableParagraph"/>
              <w:spacing w:before="3" w:line="183" w:lineRule="exact"/>
              <w:ind w:right="52"/>
              <w:jc w:val="right"/>
              <w:rPr>
                <w:sz w:val="18"/>
              </w:rPr>
            </w:pPr>
            <w:r>
              <w:rPr>
                <w:color w:val="252525"/>
                <w:sz w:val="18"/>
              </w:rPr>
              <w:t>1,174</w:t>
            </w:r>
          </w:p>
        </w:tc>
      </w:tr>
    </w:tbl>
    <w:p w14:paraId="473FDF02" w14:textId="77777777" w:rsidR="00E1198C" w:rsidRDefault="00E1198C">
      <w:pPr>
        <w:pStyle w:val="Tekstpodstawowy"/>
        <w:rPr>
          <w:i/>
        </w:rPr>
      </w:pPr>
    </w:p>
    <w:p w14:paraId="785B212C" w14:textId="77777777" w:rsidR="00E1198C" w:rsidRDefault="00E1198C">
      <w:pPr>
        <w:pStyle w:val="Tekstpodstawowy"/>
        <w:spacing w:before="201"/>
        <w:rPr>
          <w:i/>
        </w:rPr>
      </w:pPr>
    </w:p>
    <w:p w14:paraId="5B147FD5" w14:textId="4DA18333" w:rsidR="00E1198C" w:rsidRDefault="00000000">
      <w:pPr>
        <w:pStyle w:val="Akapitzlist"/>
        <w:numPr>
          <w:ilvl w:val="1"/>
          <w:numId w:val="43"/>
        </w:numPr>
        <w:tabs>
          <w:tab w:val="left" w:pos="1088"/>
        </w:tabs>
        <w:ind w:hanging="578"/>
        <w:rPr>
          <w:sz w:val="18"/>
        </w:rPr>
      </w:pPr>
      <w:r>
        <w:rPr>
          <w:color w:val="F07D00"/>
          <w:sz w:val="18"/>
        </w:rPr>
        <w:t>Comments on the performance</w:t>
      </w:r>
    </w:p>
    <w:p w14:paraId="3C78E91E" w14:textId="77777777" w:rsidR="00E1198C" w:rsidRDefault="00E1198C">
      <w:pPr>
        <w:pStyle w:val="Tekstpodstawowy"/>
        <w:spacing w:before="116"/>
      </w:pPr>
    </w:p>
    <w:p w14:paraId="0593FC78" w14:textId="77777777" w:rsidR="00E1198C" w:rsidRDefault="00000000">
      <w:pPr>
        <w:pStyle w:val="Nagwek5"/>
      </w:pPr>
      <w:r>
        <w:rPr>
          <w:color w:val="F07D00"/>
        </w:rPr>
        <w:t>Revenues</w:t>
      </w:r>
    </w:p>
    <w:p w14:paraId="19492F89" w14:textId="77777777" w:rsidR="00E1198C" w:rsidRDefault="00000000">
      <w:pPr>
        <w:pStyle w:val="Tekstpodstawowy"/>
        <w:spacing w:before="158" w:line="273" w:lineRule="auto"/>
        <w:ind w:left="510" w:right="478"/>
        <w:jc w:val="both"/>
      </w:pPr>
      <w:r>
        <w:t>In 2024, Celon Pharma S.A.'s revenue amounted to PLN 207.2 million compared to PLN 216.6 million in 2023. Domestic sales in the generic drugs segment reached PLN 137 million in 2024, which represents an increase of 27.7% compared to 2023. Sales value growth in this segment was recorded for all products, with the largest, as much as PLN 23 million, recorded by Zarixa, introduced to the market in Q2.</w:t>
      </w:r>
    </w:p>
    <w:p w14:paraId="27B14721" w14:textId="77777777" w:rsidR="00E1198C" w:rsidRDefault="00000000">
      <w:pPr>
        <w:pStyle w:val="Tekstpodstawowy"/>
        <w:spacing w:before="123" w:line="276" w:lineRule="auto"/>
        <w:ind w:left="510" w:right="476"/>
        <w:jc w:val="both"/>
      </w:pPr>
      <w:r>
        <w:t>Export sales decreased from PLN 59.6 million in 2023 to PLN 41.6 million. This is due to temporary shifts in placing and fulfilling orders for foreign partners. In the case of export customers, we note high dynamics of changes in order receipt between quarters. This naturally shifts order fulfillment to subsequent periods. In the perspective of subsequent quarters of 2025, the Company assumes good sales dynamics in export markets and entry into additional foreign markets, which will effectively support this trend.</w:t>
      </w:r>
    </w:p>
    <w:p w14:paraId="570284D8" w14:textId="77777777" w:rsidR="00E1198C" w:rsidRDefault="00E1198C">
      <w:pPr>
        <w:spacing w:line="276" w:lineRule="auto"/>
        <w:jc w:val="both"/>
        <w:sectPr w:rsidR="00E1198C">
          <w:pgSz w:w="11900" w:h="16840"/>
          <w:pgMar w:top="820" w:right="320" w:bottom="920" w:left="300" w:header="0" w:footer="726" w:gutter="0"/>
          <w:cols w:space="708"/>
        </w:sectPr>
      </w:pPr>
    </w:p>
    <w:p w14:paraId="21D6D538" w14:textId="2B65A29D" w:rsidR="00E1198C" w:rsidRDefault="00000000" w:rsidP="000934DB">
      <w:pPr>
        <w:pStyle w:val="Tekstpodstawowy"/>
        <w:spacing w:before="61"/>
        <w:ind w:left="510" w:right="507"/>
        <w:jc w:val="both"/>
      </w:pPr>
      <w:r>
        <w:lastRenderedPageBreak/>
        <w:t>In the innovation segment, the Company recorded a decrease in revenue from received grants, which decreased from PLN 49.5 million in 2023 to PLN 27.4 million in 2024. This is due to the ending financing of projects in the most advanced stage of development, extended deadlines for acceptance of reimbursement applications by the financing institution, and the process of closing the financial perspective for 2014-2020.</w:t>
      </w:r>
    </w:p>
    <w:p w14:paraId="49BE8DB9" w14:textId="77777777" w:rsidR="00E1198C" w:rsidRDefault="00000000">
      <w:pPr>
        <w:pStyle w:val="Tekstpodstawowy"/>
        <w:spacing w:before="152" w:line="278" w:lineRule="auto"/>
        <w:ind w:left="510" w:right="482"/>
        <w:jc w:val="both"/>
      </w:pPr>
      <w:r>
        <w:t>The Company continues its strategy of successfully obtaining co-financing for project development in both the innovative and generic drugs segments. The Company obtained positive content validation for three of its projects, for a total amount exceeding PLN 31 million, which are to be co-financed from the National Recovery and Resilience Plan (2024/ABM/05/</w:t>
      </w:r>
      <w:proofErr w:type="spellStart"/>
      <w:r>
        <w:t>KPO</w:t>
      </w:r>
      <w:proofErr w:type="spellEnd"/>
      <w:r>
        <w:t>) – operated by the Medical Research Agency.</w:t>
      </w:r>
    </w:p>
    <w:p w14:paraId="2E4FDDE1" w14:textId="77777777" w:rsidR="00E1198C" w:rsidRDefault="00E1198C">
      <w:pPr>
        <w:pStyle w:val="Tekstpodstawowy"/>
        <w:spacing w:before="2"/>
      </w:pPr>
    </w:p>
    <w:p w14:paraId="48FFDB40" w14:textId="77777777" w:rsidR="00E1198C" w:rsidRDefault="00000000">
      <w:pPr>
        <w:pStyle w:val="Nagwek5"/>
        <w:spacing w:before="1"/>
      </w:pPr>
      <w:r>
        <w:rPr>
          <w:color w:val="F07D00"/>
        </w:rPr>
        <w:t>EBITDA</w:t>
      </w:r>
    </w:p>
    <w:p w14:paraId="1A8B1047" w14:textId="77777777" w:rsidR="00E1198C" w:rsidRDefault="00000000">
      <w:pPr>
        <w:pStyle w:val="Tekstpodstawowy"/>
        <w:spacing w:before="157" w:line="271" w:lineRule="auto"/>
        <w:ind w:left="510" w:right="483"/>
        <w:jc w:val="both"/>
      </w:pPr>
      <w:r>
        <w:t>EBITDA of the generic drugs segment amounted to PLN 56 million in 2024 and was 10.4% lower compared to 2023, while the innovation segment recorded a negative EBITDA result of PLN 41 million in 2024 compared to a loss of PLN 39.7 million in 2023.</w:t>
      </w:r>
    </w:p>
    <w:p w14:paraId="63FC2817" w14:textId="77777777" w:rsidR="00E1198C" w:rsidRDefault="00000000">
      <w:pPr>
        <w:pStyle w:val="Tekstpodstawowy"/>
        <w:spacing w:before="123" w:line="278" w:lineRule="auto"/>
        <w:ind w:left="510" w:right="477"/>
        <w:jc w:val="both"/>
      </w:pPr>
      <w:r>
        <w:t>The lower EBITDA result in 2024 in the generic drugs segment is mainly the result of increased operating costs (+14.8%), which grew faster than revenue (+7%). In the Total costs by nature position of the segment, the largest increase was recorded in the Other costs position, which increased by 60% compared to 12 months of 2023. To a significant extent, this is the result of introducing Zarixa, the Company’s the new drug, in the Q2 2024.</w:t>
      </w:r>
    </w:p>
    <w:p w14:paraId="5B9AF250" w14:textId="77777777" w:rsidR="00E1198C" w:rsidRDefault="00000000">
      <w:pPr>
        <w:pStyle w:val="Tekstpodstawowy"/>
        <w:spacing w:before="117" w:line="273" w:lineRule="auto"/>
        <w:ind w:left="510" w:right="478"/>
        <w:jc w:val="both"/>
      </w:pPr>
      <w:r>
        <w:t>At the end of 2024, the Company’s financial statements included the value of shares held in Novohale, its associate, resulting from the valuation of contributed intellectual property rights, in the total amount of PLN 15.5 million. In accordance with IAS 28, paragraph 28, gains and losses from transactions between an entity and its associate may be recognized only to the extent corresponding to the interests of unrelated investors in that entity. This amount was presented in the innovation segment under "other operating income."</w:t>
      </w:r>
    </w:p>
    <w:p w14:paraId="624EDFD8" w14:textId="77777777" w:rsidR="00E1198C" w:rsidRDefault="00000000">
      <w:pPr>
        <w:pStyle w:val="Tekstpodstawowy"/>
        <w:spacing w:before="134"/>
        <w:ind w:left="510"/>
        <w:jc w:val="both"/>
      </w:pPr>
      <w:r>
        <w:t>Despite a significant increase in operating costs, the segment's EBITDA profitability remains at a high level, exceeding 31%.</w:t>
      </w:r>
    </w:p>
    <w:p w14:paraId="06EE5A2F" w14:textId="77777777" w:rsidR="00E1198C" w:rsidRDefault="00E1198C">
      <w:pPr>
        <w:pStyle w:val="Tekstpodstawowy"/>
        <w:spacing w:before="38"/>
      </w:pPr>
    </w:p>
    <w:p w14:paraId="01066218" w14:textId="77777777" w:rsidR="00E1198C" w:rsidRDefault="00000000">
      <w:pPr>
        <w:pStyle w:val="Nagwek5"/>
        <w:jc w:val="both"/>
      </w:pPr>
      <w:r>
        <w:rPr>
          <w:color w:val="F07D00"/>
        </w:rPr>
        <w:t>Financial situation</w:t>
      </w:r>
    </w:p>
    <w:p w14:paraId="6CEDDBDA" w14:textId="77777777" w:rsidR="00E1198C" w:rsidRDefault="00000000">
      <w:pPr>
        <w:pStyle w:val="Tekstpodstawowy"/>
        <w:spacing w:before="146" w:line="276" w:lineRule="auto"/>
        <w:ind w:left="510" w:right="480"/>
        <w:jc w:val="both"/>
      </w:pPr>
      <w:r>
        <w:t>The time delay between incurring costs and generating revenue in the innovation segment creates liquidity risk. This risk was significantly reduced in 2021 through the issuance of D-series D shares, registered on September 22, 2021, as a result of which the Company obtained cash in the amount of PLN 202.6 million zloty (amount after deducting issuance costs). In addition to funds from this issuance, key sources of financing for the innovation segment include positive cash flows generated by the generic drugs segment and inflows from grants awarded by the National Center for Research and Development and the Medical Research Agency.</w:t>
      </w:r>
    </w:p>
    <w:p w14:paraId="7C182FAE" w14:textId="77777777" w:rsidR="00E1198C" w:rsidRDefault="00E1198C">
      <w:pPr>
        <w:pStyle w:val="Tekstpodstawowy"/>
        <w:rPr>
          <w:sz w:val="20"/>
        </w:rPr>
      </w:pPr>
    </w:p>
    <w:tbl>
      <w:tblPr>
        <w:tblStyle w:val="Tabela-Siatka"/>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5"/>
        <w:gridCol w:w="2126"/>
        <w:gridCol w:w="1984"/>
      </w:tblGrid>
      <w:tr w:rsidR="007659B4" w:rsidRPr="007659B4" w14:paraId="1387094D" w14:textId="77777777" w:rsidTr="007659B4">
        <w:tc>
          <w:tcPr>
            <w:tcW w:w="3261" w:type="dxa"/>
            <w:shd w:val="clear" w:color="auto" w:fill="F2F2F2" w:themeFill="background1" w:themeFillShade="F2"/>
          </w:tcPr>
          <w:p w14:paraId="61E2E448" w14:textId="54F48062" w:rsidR="007659B4" w:rsidRPr="007659B4" w:rsidRDefault="007659B4" w:rsidP="007659B4">
            <w:pPr>
              <w:pStyle w:val="Tekstpodstawowy"/>
              <w:jc w:val="center"/>
              <w:rPr>
                <w:b/>
                <w:bCs/>
                <w:szCs w:val="16"/>
              </w:rPr>
            </w:pPr>
            <w:r>
              <w:rPr>
                <w:b/>
              </w:rPr>
              <w:t>Indicator</w:t>
            </w:r>
          </w:p>
        </w:tc>
        <w:tc>
          <w:tcPr>
            <w:tcW w:w="2835" w:type="dxa"/>
            <w:shd w:val="clear" w:color="auto" w:fill="F2F2F2" w:themeFill="background1" w:themeFillShade="F2"/>
          </w:tcPr>
          <w:p w14:paraId="585C8EC6" w14:textId="15084C61" w:rsidR="007659B4" w:rsidRPr="007659B4" w:rsidRDefault="007659B4" w:rsidP="007659B4">
            <w:pPr>
              <w:pStyle w:val="Tekstpodstawowy"/>
              <w:jc w:val="center"/>
              <w:rPr>
                <w:b/>
                <w:bCs/>
                <w:szCs w:val="16"/>
              </w:rPr>
            </w:pPr>
            <w:r>
              <w:rPr>
                <w:b/>
              </w:rPr>
              <w:t>Explanation</w:t>
            </w:r>
          </w:p>
        </w:tc>
        <w:tc>
          <w:tcPr>
            <w:tcW w:w="4110" w:type="dxa"/>
            <w:gridSpan w:val="2"/>
            <w:shd w:val="clear" w:color="auto" w:fill="F2F2F2" w:themeFill="background1" w:themeFillShade="F2"/>
          </w:tcPr>
          <w:p w14:paraId="70E4C5D9" w14:textId="48332C72" w:rsidR="007659B4" w:rsidRPr="007659B4" w:rsidRDefault="007659B4" w:rsidP="007659B4">
            <w:pPr>
              <w:pStyle w:val="Tekstpodstawowy"/>
              <w:jc w:val="center"/>
              <w:rPr>
                <w:b/>
                <w:bCs/>
                <w:szCs w:val="16"/>
              </w:rPr>
            </w:pPr>
            <w:r>
              <w:rPr>
                <w:b/>
              </w:rPr>
              <w:t>12-month period ended</w:t>
            </w:r>
          </w:p>
        </w:tc>
      </w:tr>
      <w:tr w:rsidR="007659B4" w:rsidRPr="007659B4" w14:paraId="518A29AB" w14:textId="77777777" w:rsidTr="007659B4">
        <w:tc>
          <w:tcPr>
            <w:tcW w:w="3261" w:type="dxa"/>
            <w:shd w:val="clear" w:color="auto" w:fill="F2F2F2" w:themeFill="background1" w:themeFillShade="F2"/>
          </w:tcPr>
          <w:p w14:paraId="476FEE51" w14:textId="77777777" w:rsidR="007659B4" w:rsidRPr="007659B4" w:rsidRDefault="007659B4" w:rsidP="007659B4">
            <w:pPr>
              <w:pStyle w:val="Tekstpodstawowy"/>
              <w:jc w:val="center"/>
              <w:rPr>
                <w:b/>
                <w:bCs/>
                <w:szCs w:val="16"/>
              </w:rPr>
            </w:pPr>
          </w:p>
        </w:tc>
        <w:tc>
          <w:tcPr>
            <w:tcW w:w="2835" w:type="dxa"/>
            <w:shd w:val="clear" w:color="auto" w:fill="F2F2F2" w:themeFill="background1" w:themeFillShade="F2"/>
          </w:tcPr>
          <w:p w14:paraId="2C166430" w14:textId="77777777" w:rsidR="007659B4" w:rsidRPr="007659B4" w:rsidRDefault="007659B4" w:rsidP="007659B4">
            <w:pPr>
              <w:pStyle w:val="Tekstpodstawowy"/>
              <w:jc w:val="center"/>
              <w:rPr>
                <w:b/>
                <w:bCs/>
                <w:szCs w:val="16"/>
              </w:rPr>
            </w:pPr>
          </w:p>
        </w:tc>
        <w:tc>
          <w:tcPr>
            <w:tcW w:w="2126" w:type="dxa"/>
            <w:shd w:val="clear" w:color="auto" w:fill="D9D9D9" w:themeFill="background1" w:themeFillShade="D9"/>
          </w:tcPr>
          <w:p w14:paraId="720E4B6B" w14:textId="71C1A16C" w:rsidR="007659B4" w:rsidRPr="007659B4" w:rsidRDefault="007659B4" w:rsidP="007659B4">
            <w:pPr>
              <w:pStyle w:val="Tekstpodstawowy"/>
              <w:jc w:val="center"/>
              <w:rPr>
                <w:b/>
                <w:bCs/>
                <w:szCs w:val="16"/>
              </w:rPr>
            </w:pPr>
            <w:r>
              <w:rPr>
                <w:b/>
              </w:rPr>
              <w:t>12/31/2024</w:t>
            </w:r>
          </w:p>
        </w:tc>
        <w:tc>
          <w:tcPr>
            <w:tcW w:w="1984" w:type="dxa"/>
            <w:shd w:val="clear" w:color="auto" w:fill="F2F2F2" w:themeFill="background1" w:themeFillShade="F2"/>
          </w:tcPr>
          <w:p w14:paraId="29703ABD" w14:textId="76B8EF35" w:rsidR="007659B4" w:rsidRPr="007659B4" w:rsidRDefault="007659B4" w:rsidP="007659B4">
            <w:pPr>
              <w:pStyle w:val="Tekstpodstawowy"/>
              <w:jc w:val="center"/>
              <w:rPr>
                <w:b/>
                <w:bCs/>
                <w:szCs w:val="16"/>
              </w:rPr>
            </w:pPr>
            <w:r>
              <w:rPr>
                <w:b/>
              </w:rPr>
              <w:t>12/31/2023</w:t>
            </w:r>
          </w:p>
        </w:tc>
      </w:tr>
      <w:tr w:rsidR="007659B4" w:rsidRPr="007659B4" w14:paraId="3BC85375" w14:textId="77777777" w:rsidTr="007659B4">
        <w:tc>
          <w:tcPr>
            <w:tcW w:w="3261" w:type="dxa"/>
          </w:tcPr>
          <w:p w14:paraId="72EA8B02" w14:textId="77777777" w:rsidR="007659B4" w:rsidRPr="007659B4" w:rsidRDefault="007659B4" w:rsidP="007659B4">
            <w:pPr>
              <w:pStyle w:val="Tekstpodstawowy"/>
              <w:jc w:val="center"/>
              <w:rPr>
                <w:b/>
                <w:bCs/>
                <w:szCs w:val="16"/>
              </w:rPr>
            </w:pPr>
          </w:p>
        </w:tc>
        <w:tc>
          <w:tcPr>
            <w:tcW w:w="2835" w:type="dxa"/>
          </w:tcPr>
          <w:p w14:paraId="2AE3C32A" w14:textId="77777777" w:rsidR="007659B4" w:rsidRPr="007659B4" w:rsidRDefault="007659B4" w:rsidP="007659B4">
            <w:pPr>
              <w:pStyle w:val="Tekstpodstawowy"/>
              <w:jc w:val="center"/>
              <w:rPr>
                <w:b/>
                <w:bCs/>
                <w:szCs w:val="16"/>
              </w:rPr>
            </w:pPr>
          </w:p>
        </w:tc>
        <w:tc>
          <w:tcPr>
            <w:tcW w:w="2126" w:type="dxa"/>
          </w:tcPr>
          <w:p w14:paraId="7EC2EA69" w14:textId="77777777" w:rsidR="007659B4" w:rsidRPr="007659B4" w:rsidRDefault="007659B4" w:rsidP="007659B4">
            <w:pPr>
              <w:pStyle w:val="Tekstpodstawowy"/>
              <w:jc w:val="center"/>
              <w:rPr>
                <w:b/>
                <w:bCs/>
                <w:szCs w:val="16"/>
              </w:rPr>
            </w:pPr>
          </w:p>
        </w:tc>
        <w:tc>
          <w:tcPr>
            <w:tcW w:w="1984" w:type="dxa"/>
          </w:tcPr>
          <w:p w14:paraId="16A7BB47" w14:textId="77777777" w:rsidR="007659B4" w:rsidRPr="007659B4" w:rsidRDefault="007659B4" w:rsidP="007659B4">
            <w:pPr>
              <w:pStyle w:val="Tekstpodstawowy"/>
              <w:jc w:val="center"/>
              <w:rPr>
                <w:b/>
                <w:bCs/>
                <w:szCs w:val="16"/>
              </w:rPr>
            </w:pPr>
          </w:p>
        </w:tc>
      </w:tr>
      <w:tr w:rsidR="007659B4" w:rsidRPr="007659B4" w14:paraId="55A5036B" w14:textId="77777777" w:rsidTr="007659B4">
        <w:trPr>
          <w:trHeight w:val="298"/>
        </w:trPr>
        <w:tc>
          <w:tcPr>
            <w:tcW w:w="3261" w:type="dxa"/>
          </w:tcPr>
          <w:p w14:paraId="2255BFED" w14:textId="2E191F5B" w:rsidR="007659B4" w:rsidRPr="007659B4" w:rsidRDefault="007659B4" w:rsidP="007659B4">
            <w:pPr>
              <w:pStyle w:val="Tekstpodstawowy"/>
              <w:rPr>
                <w:szCs w:val="16"/>
              </w:rPr>
            </w:pPr>
            <w:r>
              <w:t>EBITDA profitability [%]</w:t>
            </w:r>
          </w:p>
        </w:tc>
        <w:tc>
          <w:tcPr>
            <w:tcW w:w="2835" w:type="dxa"/>
          </w:tcPr>
          <w:p w14:paraId="4EB09E9E" w14:textId="03BD5DFB" w:rsidR="007659B4" w:rsidRPr="007659B4" w:rsidRDefault="007659B4" w:rsidP="007659B4">
            <w:pPr>
              <w:pStyle w:val="Tekstpodstawowy"/>
              <w:jc w:val="center"/>
              <w:rPr>
                <w:szCs w:val="16"/>
              </w:rPr>
            </w:pPr>
            <w:r>
              <w:t>EBITDA/revenues</w:t>
            </w:r>
          </w:p>
        </w:tc>
        <w:tc>
          <w:tcPr>
            <w:tcW w:w="2126" w:type="dxa"/>
            <w:shd w:val="clear" w:color="auto" w:fill="D9D9D9" w:themeFill="background1" w:themeFillShade="D9"/>
          </w:tcPr>
          <w:p w14:paraId="68C20417" w14:textId="59AA1462" w:rsidR="007659B4" w:rsidRPr="007659B4" w:rsidRDefault="007659B4" w:rsidP="007659B4">
            <w:pPr>
              <w:pStyle w:val="Tekstpodstawowy"/>
              <w:jc w:val="right"/>
              <w:rPr>
                <w:szCs w:val="16"/>
              </w:rPr>
            </w:pPr>
            <w:r>
              <w:t>7.3%</w:t>
            </w:r>
          </w:p>
        </w:tc>
        <w:tc>
          <w:tcPr>
            <w:tcW w:w="1984" w:type="dxa"/>
          </w:tcPr>
          <w:p w14:paraId="7623C762" w14:textId="4EB6BDC3" w:rsidR="007659B4" w:rsidRPr="007659B4" w:rsidRDefault="007659B4" w:rsidP="007659B4">
            <w:pPr>
              <w:pStyle w:val="Tekstpodstawowy"/>
              <w:jc w:val="right"/>
              <w:rPr>
                <w:szCs w:val="16"/>
              </w:rPr>
            </w:pPr>
            <w:r>
              <w:t>10.5%</w:t>
            </w:r>
          </w:p>
        </w:tc>
      </w:tr>
      <w:tr w:rsidR="007659B4" w:rsidRPr="007659B4" w14:paraId="257BF18F" w14:textId="77777777" w:rsidTr="007659B4">
        <w:tc>
          <w:tcPr>
            <w:tcW w:w="3261" w:type="dxa"/>
          </w:tcPr>
          <w:p w14:paraId="69BF99F4" w14:textId="4BD9041A" w:rsidR="007659B4" w:rsidRPr="007659B4" w:rsidRDefault="007659B4" w:rsidP="007659B4">
            <w:pPr>
              <w:pStyle w:val="Tekstpodstawowy"/>
              <w:rPr>
                <w:szCs w:val="16"/>
              </w:rPr>
            </w:pPr>
            <w:r>
              <w:t>Return on assets (ROA)</w:t>
            </w:r>
          </w:p>
        </w:tc>
        <w:tc>
          <w:tcPr>
            <w:tcW w:w="2835" w:type="dxa"/>
          </w:tcPr>
          <w:p w14:paraId="7682174E" w14:textId="04B6E206" w:rsidR="007659B4" w:rsidRPr="007659B4" w:rsidRDefault="007659B4" w:rsidP="007659B4">
            <w:pPr>
              <w:pStyle w:val="Tekstpodstawowy"/>
              <w:jc w:val="center"/>
              <w:rPr>
                <w:szCs w:val="16"/>
              </w:rPr>
            </w:pPr>
            <w:r>
              <w:rPr>
                <w:i/>
              </w:rPr>
              <w:t>net financial result/ total assets</w:t>
            </w:r>
          </w:p>
        </w:tc>
        <w:tc>
          <w:tcPr>
            <w:tcW w:w="2126" w:type="dxa"/>
            <w:shd w:val="clear" w:color="auto" w:fill="D9D9D9" w:themeFill="background1" w:themeFillShade="D9"/>
          </w:tcPr>
          <w:p w14:paraId="77C4FA3A" w14:textId="39F9C5D7" w:rsidR="007659B4" w:rsidRPr="007659B4" w:rsidRDefault="007659B4" w:rsidP="007659B4">
            <w:pPr>
              <w:pStyle w:val="Tekstpodstawowy"/>
              <w:jc w:val="right"/>
              <w:rPr>
                <w:szCs w:val="16"/>
              </w:rPr>
            </w:pPr>
            <w:r>
              <w:t>-6.3%</w:t>
            </w:r>
          </w:p>
        </w:tc>
        <w:tc>
          <w:tcPr>
            <w:tcW w:w="1984" w:type="dxa"/>
          </w:tcPr>
          <w:p w14:paraId="5AC07CAD" w14:textId="4E2FA052" w:rsidR="007659B4" w:rsidRPr="007659B4" w:rsidRDefault="007659B4" w:rsidP="007659B4">
            <w:pPr>
              <w:pStyle w:val="Tekstpodstawowy"/>
              <w:jc w:val="right"/>
              <w:rPr>
                <w:szCs w:val="16"/>
              </w:rPr>
            </w:pPr>
            <w:r>
              <w:t>-4.9%</w:t>
            </w:r>
          </w:p>
        </w:tc>
      </w:tr>
      <w:tr w:rsidR="007659B4" w:rsidRPr="007659B4" w14:paraId="58AAF86E" w14:textId="77777777" w:rsidTr="007659B4">
        <w:tc>
          <w:tcPr>
            <w:tcW w:w="3261" w:type="dxa"/>
          </w:tcPr>
          <w:p w14:paraId="240C8226" w14:textId="37D5F6D0" w:rsidR="007659B4" w:rsidRPr="007659B4" w:rsidRDefault="007659B4" w:rsidP="007659B4">
            <w:pPr>
              <w:pStyle w:val="Tekstpodstawowy"/>
              <w:rPr>
                <w:szCs w:val="16"/>
              </w:rPr>
            </w:pPr>
            <w:r>
              <w:t>return on equity (ROE)</w:t>
            </w:r>
          </w:p>
        </w:tc>
        <w:tc>
          <w:tcPr>
            <w:tcW w:w="2835" w:type="dxa"/>
          </w:tcPr>
          <w:p w14:paraId="0EE9A55A" w14:textId="42D22108" w:rsidR="007659B4" w:rsidRPr="007659B4" w:rsidRDefault="007659B4" w:rsidP="007659B4">
            <w:pPr>
              <w:pStyle w:val="Tekstpodstawowy"/>
              <w:jc w:val="center"/>
              <w:rPr>
                <w:i/>
                <w:szCs w:val="16"/>
              </w:rPr>
            </w:pPr>
            <w:r>
              <w:rPr>
                <w:i/>
              </w:rPr>
              <w:t>net financial result/ equity</w:t>
            </w:r>
          </w:p>
        </w:tc>
        <w:tc>
          <w:tcPr>
            <w:tcW w:w="2126" w:type="dxa"/>
            <w:shd w:val="clear" w:color="auto" w:fill="D9D9D9" w:themeFill="background1" w:themeFillShade="D9"/>
          </w:tcPr>
          <w:p w14:paraId="3479345B" w14:textId="76AF7600" w:rsidR="007659B4" w:rsidRPr="007659B4" w:rsidRDefault="007659B4" w:rsidP="007659B4">
            <w:pPr>
              <w:pStyle w:val="Tekstpodstawowy"/>
              <w:jc w:val="right"/>
              <w:rPr>
                <w:szCs w:val="16"/>
              </w:rPr>
            </w:pPr>
            <w:r>
              <w:t>-7.7%</w:t>
            </w:r>
          </w:p>
        </w:tc>
        <w:tc>
          <w:tcPr>
            <w:tcW w:w="1984" w:type="dxa"/>
          </w:tcPr>
          <w:p w14:paraId="28DA458D" w14:textId="3C25E724" w:rsidR="007659B4" w:rsidRPr="007659B4" w:rsidRDefault="007659B4" w:rsidP="007659B4">
            <w:pPr>
              <w:pStyle w:val="Tekstpodstawowy"/>
              <w:jc w:val="right"/>
              <w:rPr>
                <w:szCs w:val="16"/>
              </w:rPr>
            </w:pPr>
            <w:r>
              <w:t>-6.3%</w:t>
            </w:r>
          </w:p>
        </w:tc>
      </w:tr>
      <w:tr w:rsidR="007659B4" w:rsidRPr="007659B4" w14:paraId="4CDE342F" w14:textId="77777777" w:rsidTr="007659B4">
        <w:tc>
          <w:tcPr>
            <w:tcW w:w="3261" w:type="dxa"/>
          </w:tcPr>
          <w:p w14:paraId="5F7832AF" w14:textId="4457A51E" w:rsidR="007659B4" w:rsidRPr="007659B4" w:rsidRDefault="007659B4" w:rsidP="007659B4">
            <w:pPr>
              <w:pStyle w:val="Tekstpodstawowy"/>
              <w:rPr>
                <w:szCs w:val="16"/>
              </w:rPr>
            </w:pPr>
            <w:r>
              <w:t>net debt(/cash)</w:t>
            </w:r>
          </w:p>
        </w:tc>
        <w:tc>
          <w:tcPr>
            <w:tcW w:w="2835" w:type="dxa"/>
          </w:tcPr>
          <w:p w14:paraId="213D4B47" w14:textId="1236B15F" w:rsidR="007659B4" w:rsidRPr="007659B4" w:rsidRDefault="007659B4" w:rsidP="007659B4">
            <w:pPr>
              <w:pStyle w:val="Tekstpodstawowy"/>
              <w:jc w:val="center"/>
              <w:rPr>
                <w:i/>
                <w:szCs w:val="16"/>
              </w:rPr>
            </w:pPr>
            <w:r>
              <w:rPr>
                <w:i/>
              </w:rPr>
              <w:t>financial liabilities-cash and cash equivalents</w:t>
            </w:r>
          </w:p>
        </w:tc>
        <w:tc>
          <w:tcPr>
            <w:tcW w:w="2126" w:type="dxa"/>
            <w:shd w:val="clear" w:color="auto" w:fill="D9D9D9" w:themeFill="background1" w:themeFillShade="D9"/>
          </w:tcPr>
          <w:p w14:paraId="477DA541" w14:textId="6501CF29" w:rsidR="007659B4" w:rsidRPr="007659B4" w:rsidRDefault="007659B4" w:rsidP="007659B4">
            <w:pPr>
              <w:pStyle w:val="Tekstpodstawowy"/>
              <w:jc w:val="right"/>
              <w:rPr>
                <w:szCs w:val="16"/>
              </w:rPr>
            </w:pPr>
            <w:r>
              <w:t>-58.2</w:t>
            </w:r>
          </w:p>
        </w:tc>
        <w:tc>
          <w:tcPr>
            <w:tcW w:w="1984" w:type="dxa"/>
          </w:tcPr>
          <w:p w14:paraId="3A398CE0" w14:textId="57770E29" w:rsidR="007659B4" w:rsidRPr="007659B4" w:rsidRDefault="007659B4" w:rsidP="007659B4">
            <w:pPr>
              <w:pStyle w:val="Tekstpodstawowy"/>
              <w:jc w:val="right"/>
              <w:rPr>
                <w:szCs w:val="16"/>
              </w:rPr>
            </w:pPr>
            <w:r>
              <w:t>-89</w:t>
            </w:r>
          </w:p>
        </w:tc>
      </w:tr>
      <w:tr w:rsidR="007659B4" w:rsidRPr="007659B4" w14:paraId="6709E22B" w14:textId="77777777" w:rsidTr="007659B4">
        <w:tc>
          <w:tcPr>
            <w:tcW w:w="3261" w:type="dxa"/>
          </w:tcPr>
          <w:p w14:paraId="12082905" w14:textId="6B1485AC" w:rsidR="007659B4" w:rsidRPr="007659B4" w:rsidRDefault="007659B4" w:rsidP="007659B4">
            <w:pPr>
              <w:pStyle w:val="Tekstpodstawowy"/>
              <w:rPr>
                <w:szCs w:val="16"/>
              </w:rPr>
            </w:pPr>
            <w:r>
              <w:t>liquidity - liquidity ratio I</w:t>
            </w:r>
          </w:p>
        </w:tc>
        <w:tc>
          <w:tcPr>
            <w:tcW w:w="2835" w:type="dxa"/>
          </w:tcPr>
          <w:p w14:paraId="5E1A6601" w14:textId="30902001" w:rsidR="007659B4" w:rsidRPr="007659B4" w:rsidRDefault="007659B4" w:rsidP="007659B4">
            <w:pPr>
              <w:pStyle w:val="Tekstpodstawowy"/>
              <w:jc w:val="center"/>
              <w:rPr>
                <w:i/>
                <w:szCs w:val="16"/>
              </w:rPr>
            </w:pPr>
            <w:r>
              <w:rPr>
                <w:i/>
              </w:rPr>
              <w:t>current assets/ short-term liabilities</w:t>
            </w:r>
          </w:p>
        </w:tc>
        <w:tc>
          <w:tcPr>
            <w:tcW w:w="2126" w:type="dxa"/>
            <w:shd w:val="clear" w:color="auto" w:fill="D9D9D9" w:themeFill="background1" w:themeFillShade="D9"/>
          </w:tcPr>
          <w:p w14:paraId="35C80F41" w14:textId="470E06CF" w:rsidR="007659B4" w:rsidRPr="007659B4" w:rsidRDefault="007659B4" w:rsidP="007659B4">
            <w:pPr>
              <w:pStyle w:val="Tekstpodstawowy"/>
              <w:jc w:val="right"/>
              <w:rPr>
                <w:szCs w:val="16"/>
              </w:rPr>
            </w:pPr>
            <w:r>
              <w:t>2.4</w:t>
            </w:r>
          </w:p>
        </w:tc>
        <w:tc>
          <w:tcPr>
            <w:tcW w:w="1984" w:type="dxa"/>
          </w:tcPr>
          <w:p w14:paraId="56FDF0C0" w14:textId="67D4B63C" w:rsidR="007659B4" w:rsidRPr="007659B4" w:rsidRDefault="007659B4" w:rsidP="007659B4">
            <w:pPr>
              <w:pStyle w:val="Tekstpodstawowy"/>
              <w:jc w:val="right"/>
              <w:rPr>
                <w:szCs w:val="16"/>
              </w:rPr>
            </w:pPr>
            <w:r>
              <w:t>2.2</w:t>
            </w:r>
          </w:p>
        </w:tc>
      </w:tr>
      <w:tr w:rsidR="007659B4" w:rsidRPr="007659B4" w14:paraId="7D1F3611" w14:textId="77777777" w:rsidTr="007659B4">
        <w:tc>
          <w:tcPr>
            <w:tcW w:w="3261" w:type="dxa"/>
          </w:tcPr>
          <w:p w14:paraId="0A732A09" w14:textId="3A72F6F4" w:rsidR="007659B4" w:rsidRPr="007659B4" w:rsidRDefault="007659B4" w:rsidP="007659B4">
            <w:pPr>
              <w:pStyle w:val="Tekstpodstawowy"/>
              <w:rPr>
                <w:szCs w:val="16"/>
              </w:rPr>
            </w:pPr>
            <w:r>
              <w:t>liquidity - liquidity ratio III</w:t>
            </w:r>
          </w:p>
        </w:tc>
        <w:tc>
          <w:tcPr>
            <w:tcW w:w="2835" w:type="dxa"/>
          </w:tcPr>
          <w:p w14:paraId="7F2057E2" w14:textId="3D466A04" w:rsidR="007659B4" w:rsidRPr="007659B4" w:rsidRDefault="007659B4" w:rsidP="007659B4">
            <w:pPr>
              <w:pStyle w:val="Tekstpodstawowy"/>
              <w:jc w:val="center"/>
              <w:rPr>
                <w:i/>
                <w:szCs w:val="16"/>
              </w:rPr>
            </w:pPr>
            <w:r>
              <w:rPr>
                <w:i/>
              </w:rPr>
              <w:t>cash/ short-term liabilities</w:t>
            </w:r>
          </w:p>
        </w:tc>
        <w:tc>
          <w:tcPr>
            <w:tcW w:w="2126" w:type="dxa"/>
            <w:shd w:val="clear" w:color="auto" w:fill="D9D9D9" w:themeFill="background1" w:themeFillShade="D9"/>
          </w:tcPr>
          <w:p w14:paraId="16D87749" w14:textId="37BC70E5" w:rsidR="007659B4" w:rsidRPr="007659B4" w:rsidRDefault="007659B4" w:rsidP="007659B4">
            <w:pPr>
              <w:pStyle w:val="Tekstpodstawowy"/>
              <w:jc w:val="right"/>
              <w:rPr>
                <w:szCs w:val="16"/>
              </w:rPr>
            </w:pPr>
            <w:r>
              <w:t>0.4</w:t>
            </w:r>
          </w:p>
        </w:tc>
        <w:tc>
          <w:tcPr>
            <w:tcW w:w="1984" w:type="dxa"/>
          </w:tcPr>
          <w:p w14:paraId="0964DA81" w14:textId="6E2AAF64" w:rsidR="007659B4" w:rsidRPr="007659B4" w:rsidRDefault="007659B4" w:rsidP="007659B4">
            <w:pPr>
              <w:pStyle w:val="Tekstpodstawowy"/>
              <w:jc w:val="right"/>
              <w:rPr>
                <w:szCs w:val="16"/>
              </w:rPr>
            </w:pPr>
            <w:r>
              <w:t>0.4</w:t>
            </w:r>
          </w:p>
        </w:tc>
      </w:tr>
      <w:tr w:rsidR="007659B4" w:rsidRPr="007659B4" w14:paraId="7BD1A54F" w14:textId="77777777" w:rsidTr="007659B4">
        <w:tc>
          <w:tcPr>
            <w:tcW w:w="3261" w:type="dxa"/>
          </w:tcPr>
          <w:p w14:paraId="5246D063" w14:textId="7736DE0D" w:rsidR="007659B4" w:rsidRPr="007659B4" w:rsidRDefault="007659B4" w:rsidP="007659B4">
            <w:pPr>
              <w:pStyle w:val="Tekstpodstawowy"/>
              <w:rPr>
                <w:szCs w:val="16"/>
              </w:rPr>
            </w:pPr>
            <w:r>
              <w:t>sustainability of the financing structure [%]</w:t>
            </w:r>
          </w:p>
        </w:tc>
        <w:tc>
          <w:tcPr>
            <w:tcW w:w="2835" w:type="dxa"/>
          </w:tcPr>
          <w:p w14:paraId="01B54CFF" w14:textId="4201C1EC" w:rsidR="007659B4" w:rsidRPr="007659B4" w:rsidRDefault="007659B4" w:rsidP="007659B4">
            <w:pPr>
              <w:pStyle w:val="Tekstpodstawowy"/>
              <w:jc w:val="center"/>
              <w:rPr>
                <w:i/>
                <w:szCs w:val="16"/>
              </w:rPr>
            </w:pPr>
            <w:r>
              <w:rPr>
                <w:i/>
              </w:rPr>
              <w:t>(equity + provisions and long-term liability)/ total liabilities</w:t>
            </w:r>
          </w:p>
        </w:tc>
        <w:tc>
          <w:tcPr>
            <w:tcW w:w="2126" w:type="dxa"/>
            <w:shd w:val="clear" w:color="auto" w:fill="D9D9D9" w:themeFill="background1" w:themeFillShade="D9"/>
          </w:tcPr>
          <w:p w14:paraId="23577CC0" w14:textId="4BD0D52F" w:rsidR="007659B4" w:rsidRPr="007659B4" w:rsidRDefault="007659B4" w:rsidP="007659B4">
            <w:pPr>
              <w:pStyle w:val="Tekstpodstawowy"/>
              <w:jc w:val="right"/>
              <w:rPr>
                <w:szCs w:val="16"/>
              </w:rPr>
            </w:pPr>
            <w:r>
              <w:t>87.7%</w:t>
            </w:r>
          </w:p>
        </w:tc>
        <w:tc>
          <w:tcPr>
            <w:tcW w:w="1984" w:type="dxa"/>
          </w:tcPr>
          <w:p w14:paraId="6E59885F" w14:textId="597DA1B8" w:rsidR="007659B4" w:rsidRPr="007659B4" w:rsidRDefault="007659B4" w:rsidP="007659B4">
            <w:pPr>
              <w:pStyle w:val="Tekstpodstawowy"/>
              <w:jc w:val="right"/>
              <w:rPr>
                <w:szCs w:val="16"/>
              </w:rPr>
            </w:pPr>
            <w:r>
              <w:t>84.8%</w:t>
            </w:r>
          </w:p>
        </w:tc>
      </w:tr>
      <w:tr w:rsidR="007659B4" w:rsidRPr="007659B4" w14:paraId="5E5B3D59" w14:textId="77777777" w:rsidTr="007659B4">
        <w:tc>
          <w:tcPr>
            <w:tcW w:w="3261" w:type="dxa"/>
          </w:tcPr>
          <w:p w14:paraId="0AEA8F35" w14:textId="4D7CCC37" w:rsidR="007659B4" w:rsidRPr="007659B4" w:rsidRDefault="007659B4" w:rsidP="007659B4">
            <w:pPr>
              <w:pStyle w:val="Tekstpodstawowy"/>
              <w:rPr>
                <w:szCs w:val="16"/>
              </w:rPr>
            </w:pPr>
            <w:r>
              <w:t>liabilities to assets [%]</w:t>
            </w:r>
          </w:p>
        </w:tc>
        <w:tc>
          <w:tcPr>
            <w:tcW w:w="2835" w:type="dxa"/>
          </w:tcPr>
          <w:p w14:paraId="638492EF" w14:textId="51F5D31C" w:rsidR="007659B4" w:rsidRPr="007659B4" w:rsidRDefault="007659B4" w:rsidP="007659B4">
            <w:pPr>
              <w:pStyle w:val="Tekstpodstawowy"/>
              <w:jc w:val="center"/>
              <w:rPr>
                <w:i/>
                <w:szCs w:val="16"/>
              </w:rPr>
            </w:pPr>
            <w:r>
              <w:rPr>
                <w:i/>
              </w:rPr>
              <w:t>(total liabilities-equity)/ total assets</w:t>
            </w:r>
          </w:p>
        </w:tc>
        <w:tc>
          <w:tcPr>
            <w:tcW w:w="2126" w:type="dxa"/>
            <w:shd w:val="clear" w:color="auto" w:fill="D9D9D9" w:themeFill="background1" w:themeFillShade="D9"/>
          </w:tcPr>
          <w:p w14:paraId="7005BAE1" w14:textId="0BB0D60F" w:rsidR="007659B4" w:rsidRPr="007659B4" w:rsidRDefault="007659B4" w:rsidP="007659B4">
            <w:pPr>
              <w:pStyle w:val="Tekstpodstawowy"/>
              <w:jc w:val="right"/>
              <w:rPr>
                <w:szCs w:val="16"/>
              </w:rPr>
            </w:pPr>
            <w:r>
              <w:t>18.1%</w:t>
            </w:r>
          </w:p>
        </w:tc>
        <w:tc>
          <w:tcPr>
            <w:tcW w:w="1984" w:type="dxa"/>
          </w:tcPr>
          <w:p w14:paraId="26DF44B3" w14:textId="3A1189EC" w:rsidR="007659B4" w:rsidRPr="007659B4" w:rsidRDefault="007659B4" w:rsidP="007659B4">
            <w:pPr>
              <w:pStyle w:val="Tekstpodstawowy"/>
              <w:jc w:val="right"/>
              <w:rPr>
                <w:szCs w:val="16"/>
              </w:rPr>
            </w:pPr>
            <w:r>
              <w:t>21.7%</w:t>
            </w:r>
          </w:p>
        </w:tc>
      </w:tr>
    </w:tbl>
    <w:p w14:paraId="75B16152" w14:textId="77777777" w:rsidR="00E1198C" w:rsidRDefault="00E1198C">
      <w:pPr>
        <w:pStyle w:val="Tekstpodstawowy"/>
        <w:spacing w:before="195"/>
      </w:pPr>
    </w:p>
    <w:p w14:paraId="30EF6CD8" w14:textId="242894F7" w:rsidR="00E1198C" w:rsidRDefault="00000000">
      <w:pPr>
        <w:pStyle w:val="Tekstpodstawowy"/>
        <w:spacing w:line="276" w:lineRule="auto"/>
        <w:ind w:left="510" w:right="475"/>
        <w:jc w:val="both"/>
      </w:pPr>
      <w:r>
        <w:t>The financial situation of the Company remains stable. As of December 31, 2024, the cash position amounts to PLN 75 million zloty (sum of positions: other financial assets and cash and cash equivalents), compared to PLN 114.5 million at the end of 2023. The high level of cash also results from the issuance of new shares in June 2024, through which the Company obtained an additional PLN 40.5 million.</w:t>
      </w:r>
    </w:p>
    <w:p w14:paraId="6C2F5D3A" w14:textId="77777777" w:rsidR="00E1198C" w:rsidRDefault="00E1198C">
      <w:pPr>
        <w:spacing w:line="276" w:lineRule="auto"/>
        <w:jc w:val="both"/>
        <w:sectPr w:rsidR="00E1198C">
          <w:pgSz w:w="11900" w:h="16840"/>
          <w:pgMar w:top="820" w:right="320" w:bottom="920" w:left="300" w:header="0" w:footer="726" w:gutter="0"/>
          <w:cols w:space="708"/>
        </w:sectPr>
      </w:pPr>
    </w:p>
    <w:p w14:paraId="70187433" w14:textId="77777777" w:rsidR="00E1198C" w:rsidRDefault="00000000">
      <w:pPr>
        <w:pStyle w:val="Akapitzlist"/>
        <w:numPr>
          <w:ilvl w:val="1"/>
          <w:numId w:val="43"/>
        </w:numPr>
        <w:tabs>
          <w:tab w:val="left" w:pos="1088"/>
        </w:tabs>
        <w:spacing w:before="61"/>
        <w:ind w:hanging="578"/>
        <w:rPr>
          <w:sz w:val="18"/>
        </w:rPr>
      </w:pPr>
      <w:r>
        <w:rPr>
          <w:color w:val="F07D00"/>
          <w:sz w:val="18"/>
        </w:rPr>
        <w:lastRenderedPageBreak/>
        <w:t>Branches and organizational and capital relations</w:t>
      </w:r>
    </w:p>
    <w:p w14:paraId="752ECBB9" w14:textId="77777777" w:rsidR="00E1198C" w:rsidRDefault="00E1198C">
      <w:pPr>
        <w:pStyle w:val="Tekstpodstawowy"/>
        <w:spacing w:before="134"/>
      </w:pPr>
    </w:p>
    <w:p w14:paraId="1F4A7A82" w14:textId="77777777" w:rsidR="00E1198C" w:rsidRDefault="00000000">
      <w:pPr>
        <w:pStyle w:val="Tekstpodstawowy"/>
        <w:spacing w:before="1"/>
        <w:ind w:left="510"/>
      </w:pPr>
      <w:r>
        <w:t xml:space="preserve">Celon Pharma S.A. with its registered seat in </w:t>
      </w:r>
      <w:proofErr w:type="spellStart"/>
      <w:r>
        <w:t>Kiełpin</w:t>
      </w:r>
      <w:proofErr w:type="spellEnd"/>
      <w:r>
        <w:t xml:space="preserve"> does not have branches within the meaning of the Accounting Act.</w:t>
      </w:r>
    </w:p>
    <w:p w14:paraId="074AA246" w14:textId="77777777" w:rsidR="00E1198C" w:rsidRDefault="00000000" w:rsidP="00650FD4">
      <w:pPr>
        <w:pStyle w:val="Tekstpodstawowy"/>
        <w:spacing w:before="151" w:line="271" w:lineRule="auto"/>
        <w:ind w:left="510" w:right="472"/>
        <w:jc w:val="both"/>
      </w:pPr>
      <w:r>
        <w:t>Celon Pharma S.A. is a subsidiary of Glatton Sp. z o. o., which holds a 55.8% share in the share capital of Celon Pharma S.A. and a 65.4% share in the total number of votes. The sole shareholder of Glatton Sp. z o.o. is Mr. Maciej Wieczorek, President of the Management Board of Celon Pharma S.A.</w:t>
      </w:r>
    </w:p>
    <w:p w14:paraId="7916B9F4" w14:textId="75DD86A7" w:rsidR="00E1198C" w:rsidRDefault="00000000" w:rsidP="000934DB">
      <w:pPr>
        <w:pStyle w:val="Tekstpodstawowy"/>
        <w:spacing w:before="134"/>
        <w:ind w:left="510" w:right="507"/>
        <w:jc w:val="both"/>
      </w:pPr>
      <w:r>
        <w:t>In May 2024, Celon Pharma S.A. and the fund Tang Capital Management, LLC signed a series of agreements on cooperation, based on which the company Novohale Therapeuticus Inc. was established with its registered seat in the state of Delaware in the United States ("Novohale"; see section 2.2 below). The purpose of Novohale's operations is to conduct Phase III clinical trials on the drug Falkieri. The Company does not have control (in accordance with IFRS 10) over Novohale with its 20% voting rights, but has significant influence over this company and therefore the Company recognizes Novohale as an associate (in accordance with IAS 28 requirements).</w:t>
      </w:r>
    </w:p>
    <w:p w14:paraId="77E8B2F5" w14:textId="77777777" w:rsidR="00E1198C" w:rsidRDefault="00000000">
      <w:pPr>
        <w:pStyle w:val="Tekstpodstawowy"/>
        <w:spacing w:before="119" w:line="276" w:lineRule="auto"/>
        <w:ind w:left="510" w:right="478"/>
        <w:jc w:val="both"/>
      </w:pPr>
      <w:r>
        <w:t xml:space="preserve">In October 2024, Celon Pharma S.A. established a subsidiary in Slovakia named Celon Pharma Slovakia </w:t>
      </w:r>
      <w:proofErr w:type="spellStart"/>
      <w:r>
        <w:t>s.r.o.</w:t>
      </w:r>
      <w:proofErr w:type="spellEnd"/>
      <w:r>
        <w:t>, which will implement the construction of a new production plant. In December 2024, the Company granted it a loan of 1 million EUR and PLN 350 thousand . The total assets of Celon Pharma Slovakia constitute 0.8% of Celon Pharma S.A.'s assets and this company did not achieve any revenue in 2024. Therefore, due to the immateriality of Celon Pharma Slovakia's financial data compared to Celon Pharma, the Company refrained from including this subsidiary in consolidation and from preparing consolidated financial statements.</w:t>
      </w:r>
    </w:p>
    <w:p w14:paraId="352661CE" w14:textId="6024FF24" w:rsidR="00E1198C" w:rsidRDefault="00000000">
      <w:pPr>
        <w:pStyle w:val="Tekstpodstawowy"/>
        <w:spacing w:before="121" w:line="278" w:lineRule="auto"/>
        <w:ind w:left="510" w:right="477" w:firstLine="60"/>
        <w:jc w:val="both"/>
      </w:pPr>
      <w:r>
        <w:t>Moreover, as at the date of publication of this report Celon Pharma S.A. has a direct 3.8% share in the share capital and 6.3% share in the total number of votes in Mabion S.A. In addition, Glatton Sp. z o.o. directly holds 6.8% of shares in the share capital and a 6.2% share in the total number of votes in Mabion S.A. Mr</w:t>
      </w:r>
      <w:r w:rsidR="008E7DA7">
        <w:t>.</w:t>
      </w:r>
      <w:r>
        <w:t xml:space="preserve"> Maciej Wieczorek holds (indirectly through Celon Pharma S.A. and Glatton Sp. z o.o.) 10.6% of shares in the share capital and a 12.5% share in the total number of votes in Mabion S.A.</w:t>
      </w:r>
    </w:p>
    <w:p w14:paraId="1C82FEF8" w14:textId="77777777" w:rsidR="00E1198C" w:rsidRDefault="00E1198C">
      <w:pPr>
        <w:pStyle w:val="Tekstpodstawowy"/>
      </w:pPr>
    </w:p>
    <w:p w14:paraId="687C2F7B" w14:textId="77777777" w:rsidR="00E1198C" w:rsidRDefault="00E1198C">
      <w:pPr>
        <w:pStyle w:val="Tekstpodstawowy"/>
        <w:spacing w:before="49"/>
      </w:pPr>
    </w:p>
    <w:p w14:paraId="7F367525" w14:textId="77777777" w:rsidR="00E1198C" w:rsidRDefault="00000000">
      <w:pPr>
        <w:pStyle w:val="Akapitzlist"/>
        <w:numPr>
          <w:ilvl w:val="1"/>
          <w:numId w:val="43"/>
        </w:numPr>
        <w:tabs>
          <w:tab w:val="left" w:pos="1088"/>
        </w:tabs>
        <w:ind w:hanging="578"/>
        <w:rPr>
          <w:sz w:val="18"/>
        </w:rPr>
      </w:pPr>
      <w:r>
        <w:rPr>
          <w:color w:val="F07D00"/>
          <w:sz w:val="18"/>
        </w:rPr>
        <w:t>Changes in the basic principles of Company management</w:t>
      </w:r>
    </w:p>
    <w:p w14:paraId="6739091F" w14:textId="77777777" w:rsidR="00E1198C" w:rsidRDefault="00E1198C">
      <w:pPr>
        <w:pStyle w:val="Tekstpodstawowy"/>
        <w:spacing w:before="134"/>
      </w:pPr>
    </w:p>
    <w:p w14:paraId="121FCDB2" w14:textId="77777777" w:rsidR="00E1198C" w:rsidRDefault="00000000">
      <w:pPr>
        <w:pStyle w:val="Tekstpodstawowy"/>
        <w:spacing w:before="1" w:line="273" w:lineRule="auto"/>
        <w:ind w:left="510" w:right="476"/>
        <w:jc w:val="both"/>
      </w:pPr>
      <w:r>
        <w:t>After the balance sheet date, on February 14, 2025, as a result of reviewing the effectiveness of the Issuer's business processes, the Company's Management Board adopted a resolution on implementing a new organizational regulation of the Issuer, under which three basic organizational units were separated: (i) Shared Services Center ("Holding Activity"); (ii) Celon Pharma Specialty Pharmaceuticals ("Generic Activity"); and (iii) Celon Pharma Pharmaceutical Innovations ("Innovation Activity").</w:t>
      </w:r>
    </w:p>
    <w:p w14:paraId="6922DA90" w14:textId="77777777" w:rsidR="00E1198C" w:rsidRDefault="00000000">
      <w:pPr>
        <w:pStyle w:val="Tekstpodstawowy"/>
        <w:spacing w:before="123" w:line="271" w:lineRule="auto"/>
        <w:ind w:left="510" w:right="481"/>
        <w:jc w:val="both"/>
      </w:pPr>
      <w:r>
        <w:t>Each organizational unit constitutes a functionally, organizationally, and financially separate organized part of the Issuer's enterprise. The regulation enters into force on the date of adoption of the aforementioned resolution.</w:t>
      </w:r>
    </w:p>
    <w:p w14:paraId="7927A94A" w14:textId="77777777" w:rsidR="00E1198C" w:rsidRDefault="00000000">
      <w:pPr>
        <w:pStyle w:val="Tekstpodstawowy"/>
        <w:spacing w:before="134" w:line="276" w:lineRule="auto"/>
        <w:ind w:left="510" w:right="476"/>
        <w:jc w:val="both"/>
      </w:pPr>
      <w:r>
        <w:t>The purpose of separating individual organizational units is to increase the efficiency of the Issuer's current operations and improve management of individual areas of its activity, and in the longer term, increase the Issuer's competitiveness by creating competence centers in areas of activity assigned to individual organizational units. This will ultimately allow for the independence of further development of Generic Activity and Innovation Activity, with continued support of both of these areas by Holding Activity.</w:t>
      </w:r>
    </w:p>
    <w:p w14:paraId="01967A11" w14:textId="77777777" w:rsidR="00E1198C" w:rsidRDefault="00000000">
      <w:pPr>
        <w:pStyle w:val="Tekstpodstawowy"/>
        <w:spacing w:before="120" w:line="273" w:lineRule="auto"/>
        <w:ind w:left="510" w:right="478"/>
        <w:jc w:val="both"/>
      </w:pPr>
      <w:r>
        <w:t>As part of the next stage, the plan is to divide the Issuer by separation and transfer Generic Activity and Innovation Activity to separate companies, of which the Issuer will be the sole shareholder. The Issuer will perform the function of a holding company and shared services center for entities belonging to the Issuer's capital group. For the Issuer's key stakeholders – i.e., its employees and business partners – the separation of Generic Activity and Innovation Activity will mean only formal changes (e.g., change of the party to their contracts) and will not affect in any way the timeliness or quality of fulfilling obligations incumbent on the Issuer. The planned separation of Generic Activity and Innovation Activity will also not affect the rights of the Issuer's shareholders.</w:t>
      </w:r>
    </w:p>
    <w:p w14:paraId="04D58D29" w14:textId="77777777" w:rsidR="00E1198C" w:rsidRDefault="00000000">
      <w:pPr>
        <w:pStyle w:val="Tekstpodstawowy"/>
        <w:spacing w:before="137"/>
        <w:ind w:left="510"/>
        <w:jc w:val="both"/>
      </w:pPr>
      <w:r>
        <w:t>The Company announced the above in current report No. 3/2025 dated February 14, 2025.</w:t>
      </w:r>
    </w:p>
    <w:p w14:paraId="0F950D1B" w14:textId="77777777" w:rsidR="00E1198C" w:rsidRDefault="00E1198C">
      <w:pPr>
        <w:pStyle w:val="Tekstpodstawowy"/>
        <w:spacing w:before="45"/>
      </w:pPr>
    </w:p>
    <w:p w14:paraId="64246E0D" w14:textId="77777777" w:rsidR="00E1198C" w:rsidRDefault="00000000">
      <w:pPr>
        <w:pStyle w:val="Akapitzlist"/>
        <w:numPr>
          <w:ilvl w:val="0"/>
          <w:numId w:val="43"/>
        </w:numPr>
        <w:tabs>
          <w:tab w:val="left" w:pos="942"/>
        </w:tabs>
        <w:ind w:hanging="432"/>
        <w:rPr>
          <w:sz w:val="18"/>
        </w:rPr>
      </w:pPr>
      <w:r>
        <w:rPr>
          <w:color w:val="F5811F"/>
          <w:sz w:val="18"/>
        </w:rPr>
        <w:t>Operations of Celon Pharma S.A. in 2024</w:t>
      </w:r>
    </w:p>
    <w:p w14:paraId="649ECDDB" w14:textId="77777777" w:rsidR="00E1198C" w:rsidRDefault="00E1198C">
      <w:pPr>
        <w:pStyle w:val="Tekstpodstawowy"/>
        <w:spacing w:before="55"/>
      </w:pPr>
    </w:p>
    <w:p w14:paraId="3B4C3482" w14:textId="77777777" w:rsidR="00E1198C" w:rsidRDefault="00000000">
      <w:pPr>
        <w:pStyle w:val="Akapitzlist"/>
        <w:numPr>
          <w:ilvl w:val="1"/>
          <w:numId w:val="43"/>
        </w:numPr>
        <w:tabs>
          <w:tab w:val="left" w:pos="1088"/>
        </w:tabs>
        <w:spacing w:before="1"/>
        <w:ind w:hanging="578"/>
        <w:rPr>
          <w:sz w:val="18"/>
        </w:rPr>
      </w:pPr>
      <w:r>
        <w:rPr>
          <w:color w:val="F07D00"/>
          <w:sz w:val="18"/>
        </w:rPr>
        <w:t>Key products, goods and services</w:t>
      </w:r>
    </w:p>
    <w:p w14:paraId="758732EB" w14:textId="77777777" w:rsidR="00E1198C" w:rsidRDefault="00E1198C">
      <w:pPr>
        <w:pStyle w:val="Tekstpodstawowy"/>
        <w:spacing w:before="134"/>
      </w:pPr>
    </w:p>
    <w:p w14:paraId="5EB95D73" w14:textId="77777777" w:rsidR="00E1198C" w:rsidRDefault="00000000">
      <w:pPr>
        <w:pStyle w:val="Tekstpodstawowy"/>
        <w:ind w:left="510"/>
      </w:pPr>
      <w:r>
        <w:rPr>
          <w:color w:val="231F20"/>
        </w:rPr>
        <w:t>The Company’s business area in 2024 was comprised of two segments: generic drugs and innovative drugs.</w:t>
      </w:r>
    </w:p>
    <w:p w14:paraId="0842FD31" w14:textId="53BD6869" w:rsidR="00E1198C" w:rsidRDefault="00000000" w:rsidP="00650FD4">
      <w:pPr>
        <w:pStyle w:val="Tekstpodstawowy"/>
        <w:spacing w:before="152" w:line="276" w:lineRule="auto"/>
        <w:ind w:left="510" w:right="507"/>
        <w:jc w:val="both"/>
        <w:rPr>
          <w:color w:val="231F20"/>
        </w:rPr>
      </w:pPr>
      <w:r>
        <w:rPr>
          <w:color w:val="231F20"/>
        </w:rPr>
        <w:t>The generic segment includes the development, manufacture, distribution and marketing of specialty prescription generic drugs. The innovation segment includes all research and development related to innovative drug projects that will be able to meet the key needs of modern medicine in the future.</w:t>
      </w:r>
    </w:p>
    <w:p w14:paraId="3DEEBABA" w14:textId="77777777" w:rsidR="00650FD4" w:rsidRDefault="00650FD4" w:rsidP="00650FD4">
      <w:pPr>
        <w:pStyle w:val="Tekstpodstawowy"/>
        <w:spacing w:before="152" w:line="276" w:lineRule="auto"/>
        <w:ind w:left="510" w:right="507"/>
        <w:jc w:val="both"/>
        <w:rPr>
          <w:color w:val="231F20"/>
        </w:rPr>
      </w:pPr>
    </w:p>
    <w:p w14:paraId="26B5F422" w14:textId="77777777" w:rsidR="00650FD4" w:rsidRPr="000934DB" w:rsidRDefault="00650FD4" w:rsidP="00650FD4">
      <w:pPr>
        <w:pStyle w:val="Tekstpodstawowy"/>
        <w:spacing w:before="152" w:line="276" w:lineRule="auto"/>
        <w:ind w:left="510" w:right="507"/>
        <w:jc w:val="both"/>
        <w:rPr>
          <w:color w:val="231F20"/>
          <w:spacing w:val="-4"/>
        </w:rPr>
      </w:pPr>
    </w:p>
    <w:p w14:paraId="0CF7F04F" w14:textId="77777777" w:rsidR="00E1198C" w:rsidRDefault="00E1198C">
      <w:pPr>
        <w:spacing w:line="405" w:lineRule="auto"/>
        <w:sectPr w:rsidR="00E1198C">
          <w:pgSz w:w="11900" w:h="16840"/>
          <w:pgMar w:top="820" w:right="320" w:bottom="920" w:left="300" w:header="0" w:footer="726" w:gutter="0"/>
          <w:cols w:space="708"/>
        </w:sectPr>
      </w:pPr>
    </w:p>
    <w:p w14:paraId="6340D76A" w14:textId="77777777" w:rsidR="00E1198C" w:rsidRDefault="00E1198C">
      <w:pPr>
        <w:pStyle w:val="Tekstpodstawowy"/>
        <w:spacing w:before="179"/>
      </w:pPr>
    </w:p>
    <w:p w14:paraId="4994DE3D" w14:textId="77777777" w:rsidR="00E1198C" w:rsidRDefault="00000000">
      <w:pPr>
        <w:pStyle w:val="Akapitzlist"/>
        <w:numPr>
          <w:ilvl w:val="2"/>
          <w:numId w:val="43"/>
        </w:numPr>
        <w:tabs>
          <w:tab w:val="left" w:pos="1229"/>
        </w:tabs>
        <w:spacing w:before="1"/>
        <w:ind w:left="1229" w:hanging="719"/>
        <w:rPr>
          <w:sz w:val="18"/>
        </w:rPr>
      </w:pPr>
      <w:r>
        <w:rPr>
          <w:color w:val="F07D00"/>
          <w:sz w:val="18"/>
        </w:rPr>
        <w:t>Generic segment</w:t>
      </w:r>
    </w:p>
    <w:p w14:paraId="6F1EB71A" w14:textId="77777777" w:rsidR="00E1198C" w:rsidRDefault="00E1198C">
      <w:pPr>
        <w:pStyle w:val="Tekstpodstawowy"/>
        <w:spacing w:before="168"/>
      </w:pPr>
    </w:p>
    <w:p w14:paraId="086364B3" w14:textId="77777777" w:rsidR="00E1198C" w:rsidRDefault="00000000">
      <w:pPr>
        <w:pStyle w:val="Akapitzlist"/>
        <w:numPr>
          <w:ilvl w:val="3"/>
          <w:numId w:val="43"/>
        </w:numPr>
        <w:tabs>
          <w:tab w:val="left" w:pos="1374"/>
        </w:tabs>
        <w:ind w:hanging="864"/>
        <w:rPr>
          <w:sz w:val="18"/>
        </w:rPr>
      </w:pPr>
      <w:r>
        <w:rPr>
          <w:color w:val="F07D00"/>
          <w:sz w:val="18"/>
        </w:rPr>
        <w:t>Portfolio of generic drugs</w:t>
      </w:r>
    </w:p>
    <w:p w14:paraId="681ACB11" w14:textId="77777777" w:rsidR="00E1198C" w:rsidRDefault="00E1198C">
      <w:pPr>
        <w:pStyle w:val="Tekstpodstawowy"/>
        <w:spacing w:before="55"/>
      </w:pPr>
    </w:p>
    <w:p w14:paraId="66ED332D" w14:textId="43E78FF6" w:rsidR="00E1198C" w:rsidRDefault="00000000">
      <w:pPr>
        <w:pStyle w:val="Tekstpodstawowy"/>
        <w:spacing w:before="1" w:line="276" w:lineRule="auto"/>
        <w:ind w:left="510" w:right="478"/>
        <w:jc w:val="both"/>
      </w:pPr>
      <w:r>
        <w:rPr>
          <w:color w:val="231F20"/>
        </w:rPr>
        <w:t>The Company's activities in the field of generic drugs are integrated. All drugs are manufactured by the Company, in its own production facilities, which reduces dependence on external suppliers or production capacities. In addition, the Company limits the risk of non-delivery by suppliers of active substances by maintaining commercial relationships with at least two suppliers of each active ingredient. The Company has its own marketing and sales network consisting of an over 100-member sales team promoting its products to doctors, including specialists such as cardiologists, psychiatrists, neurologists, pulmonologists, as well as internists. The Company supplies key pharmaceutical wholesalers and pharmacy chains directly.</w:t>
      </w:r>
    </w:p>
    <w:p w14:paraId="34D123AF" w14:textId="77777777" w:rsidR="00E1198C" w:rsidRDefault="00000000">
      <w:pPr>
        <w:pStyle w:val="Tekstpodstawowy"/>
        <w:spacing w:before="115" w:line="276" w:lineRule="auto"/>
        <w:ind w:left="510" w:right="477"/>
        <w:jc w:val="both"/>
      </w:pPr>
      <w:r>
        <w:rPr>
          <w:color w:val="231F20"/>
        </w:rPr>
        <w:t>Generic drugs have the same effectiveness as original products, offering a cost-effective alternative to the original drug. Generic products contain the same active substance as the original product and a bioequivalence test is required for the product to obtain marketing authorization.</w:t>
      </w:r>
    </w:p>
    <w:p w14:paraId="5652BE59" w14:textId="77777777" w:rsidR="00E1198C" w:rsidRDefault="00000000">
      <w:pPr>
        <w:pStyle w:val="Tekstpodstawowy"/>
        <w:spacing w:before="120" w:line="283" w:lineRule="auto"/>
        <w:ind w:left="510" w:right="484"/>
        <w:jc w:val="both"/>
      </w:pPr>
      <w:r>
        <w:rPr>
          <w:color w:val="231F20"/>
        </w:rPr>
        <w:t xml:space="preserve">Generic drugs are critical to the financial sustainability of the health care system and offer great potential to increase access </w:t>
      </w:r>
      <w:r>
        <w:t>to treatment for millions of patients.</w:t>
      </w:r>
    </w:p>
    <w:p w14:paraId="3F5D4B00" w14:textId="77777777" w:rsidR="00E1198C" w:rsidRDefault="00000000">
      <w:pPr>
        <w:pStyle w:val="Tekstpodstawowy"/>
        <w:spacing w:before="112"/>
        <w:ind w:left="510"/>
        <w:jc w:val="both"/>
      </w:pPr>
      <w:r>
        <w:t>There are many factors impacting the market position of a generic product. The most important ones include:</w:t>
      </w:r>
    </w:p>
    <w:p w14:paraId="791323B3" w14:textId="77777777" w:rsidR="00E1198C" w:rsidRDefault="00000000">
      <w:pPr>
        <w:pStyle w:val="Akapitzlist"/>
        <w:numPr>
          <w:ilvl w:val="4"/>
          <w:numId w:val="43"/>
        </w:numPr>
        <w:tabs>
          <w:tab w:val="left" w:pos="1609"/>
        </w:tabs>
        <w:spacing w:before="98"/>
        <w:ind w:left="1609" w:hanging="323"/>
        <w:rPr>
          <w:sz w:val="18"/>
        </w:rPr>
      </w:pPr>
      <w:r>
        <w:rPr>
          <w:sz w:val="18"/>
        </w:rPr>
        <w:t>the time of marketing authorization;</w:t>
      </w:r>
    </w:p>
    <w:p w14:paraId="6E4D8F06" w14:textId="77777777" w:rsidR="00E1198C" w:rsidRDefault="00000000">
      <w:pPr>
        <w:pStyle w:val="Akapitzlist"/>
        <w:numPr>
          <w:ilvl w:val="4"/>
          <w:numId w:val="43"/>
        </w:numPr>
        <w:tabs>
          <w:tab w:val="left" w:pos="1609"/>
        </w:tabs>
        <w:spacing w:before="38"/>
        <w:ind w:left="1609" w:hanging="323"/>
        <w:rPr>
          <w:sz w:val="18"/>
        </w:rPr>
      </w:pPr>
      <w:r>
        <w:rPr>
          <w:sz w:val="18"/>
        </w:rPr>
        <w:t>investments and sales and marketing competences;</w:t>
      </w:r>
    </w:p>
    <w:p w14:paraId="3074C2E8" w14:textId="77777777" w:rsidR="00E1198C" w:rsidRDefault="00000000">
      <w:pPr>
        <w:pStyle w:val="Akapitzlist"/>
        <w:numPr>
          <w:ilvl w:val="4"/>
          <w:numId w:val="43"/>
        </w:numPr>
        <w:tabs>
          <w:tab w:val="left" w:pos="1609"/>
        </w:tabs>
        <w:spacing w:before="38"/>
        <w:ind w:left="1609" w:hanging="323"/>
        <w:rPr>
          <w:sz w:val="18"/>
        </w:rPr>
      </w:pPr>
      <w:r>
        <w:rPr>
          <w:sz w:val="18"/>
        </w:rPr>
        <w:t>price competitiveness;</w:t>
      </w:r>
    </w:p>
    <w:p w14:paraId="0A65FD26" w14:textId="77777777" w:rsidR="00E1198C" w:rsidRDefault="00000000">
      <w:pPr>
        <w:pStyle w:val="Akapitzlist"/>
        <w:numPr>
          <w:ilvl w:val="4"/>
          <w:numId w:val="43"/>
        </w:numPr>
        <w:tabs>
          <w:tab w:val="left" w:pos="1609"/>
        </w:tabs>
        <w:spacing w:before="37"/>
        <w:ind w:left="1609" w:hanging="323"/>
        <w:rPr>
          <w:sz w:val="18"/>
        </w:rPr>
      </w:pPr>
      <w:r>
        <w:rPr>
          <w:sz w:val="18"/>
        </w:rPr>
        <w:t>reliability of the supply chain.</w:t>
      </w:r>
    </w:p>
    <w:p w14:paraId="05AD5D7F" w14:textId="77777777" w:rsidR="00E1198C" w:rsidRDefault="00000000">
      <w:pPr>
        <w:pStyle w:val="Tekstpodstawowy"/>
        <w:spacing w:before="91" w:line="276" w:lineRule="auto"/>
        <w:ind w:left="510" w:right="472"/>
        <w:jc w:val="both"/>
      </w:pPr>
      <w:r>
        <w:t>The Company’s portfolio consists of relatively mature products present in relatively stable therapeutic classes, such as respiratory system, neurology, cardiology, etc. Therefore, the Company expects to maintain stable sales revenues in the coming years on the local market.</w:t>
      </w:r>
    </w:p>
    <w:p w14:paraId="66E87793" w14:textId="065CF5ED" w:rsidR="00E1198C" w:rsidRDefault="00000000">
      <w:pPr>
        <w:pStyle w:val="Tekstpodstawowy"/>
        <w:spacing w:before="120" w:line="276" w:lineRule="auto"/>
        <w:ind w:left="510" w:right="476"/>
        <w:jc w:val="both"/>
      </w:pPr>
      <w:r>
        <w:t>The Company’s portfolio of generic drugs consists of Salmex (salmeterol/fluticasone), Ketrel (quetiapine), Donepex (donepezil), Valzek (valsartan). In December 2023, by decision of the President of the Office for Registration of Medicinal Products, Medical Devices and Biocidal Products, the Company received marketing authorization for Zarixa (rivaroxaban). In April 2024, the Company notified  the President of the Office for Registration of Medicinal Products and to the Chief Pharmaceutical Inspector about the marketing of the medicinal product ZARIXA (</w:t>
      </w:r>
      <w:proofErr w:type="spellStart"/>
      <w:r>
        <w:t>Rivaroxabanum</w:t>
      </w:r>
      <w:proofErr w:type="spellEnd"/>
      <w:r>
        <w:t>) in the form of hard capsules, in doses of: 2.5 mg, 10 mg, 15 mg, 20 mg. Such notifications constitute a standard procedure element foreseen and required by pharmaceutical law. On June 14, 2024, the Minister of Health included Zarixa (</w:t>
      </w:r>
      <w:proofErr w:type="spellStart"/>
      <w:r>
        <w:t>Rivaroxabanum</w:t>
      </w:r>
      <w:proofErr w:type="spellEnd"/>
      <w:r>
        <w:t>) hard capsules 10 mg, 15 mg, and 20 mg in the list of reimbursed drugs, i.e., in the entire range of doses covered by the Company's application.</w:t>
      </w:r>
    </w:p>
    <w:p w14:paraId="7F402335" w14:textId="77777777" w:rsidR="00E1198C" w:rsidRDefault="00000000">
      <w:pPr>
        <w:pStyle w:val="Tekstpodstawowy"/>
        <w:spacing w:before="121" w:line="276" w:lineRule="auto"/>
        <w:ind w:left="510" w:right="475"/>
        <w:jc w:val="both"/>
      </w:pPr>
      <w:r>
        <w:t xml:space="preserve">All of the Company’s products, actively promoted in 2024, have established a leading position in their market segments. Each of the Company’s top three products (i.e. generating the highest revenues), namely Salmex, Ketrel and Donepex, are market leaders in their respective categories defined as the market of the same molecule (according to </w:t>
      </w:r>
      <w:proofErr w:type="spellStart"/>
      <w:r>
        <w:t>IQVIA</w:t>
      </w:r>
      <w:proofErr w:type="spellEnd"/>
      <w:r>
        <w:t>).</w:t>
      </w:r>
    </w:p>
    <w:p w14:paraId="5A939C2B" w14:textId="77777777" w:rsidR="00E1198C" w:rsidRDefault="00000000">
      <w:pPr>
        <w:pStyle w:val="Tekstpodstawowy"/>
        <w:spacing w:before="120" w:line="283" w:lineRule="auto"/>
        <w:ind w:left="510" w:right="479"/>
        <w:jc w:val="both"/>
      </w:pPr>
      <w:r>
        <w:t>All the Company’s products appeared as the first / or one of the first / on the market of generic products in their class and are commercialized using the Company’s marketing and sales network.</w:t>
      </w:r>
    </w:p>
    <w:p w14:paraId="6BDAF775" w14:textId="77777777" w:rsidR="00E1198C" w:rsidRDefault="00000000">
      <w:pPr>
        <w:pStyle w:val="Tekstpodstawowy"/>
        <w:spacing w:before="112" w:line="273" w:lineRule="auto"/>
        <w:ind w:left="510" w:right="476"/>
        <w:jc w:val="both"/>
      </w:pPr>
      <w:r>
        <w:t>The company manufactures all products from its portfolio, including dry powder inhalers (DPI) in its own production facilities located in Kazuń Nowy. The current production capacity is sufficient to meet the market demand for the Company’s products. The company is significantly increasing its production capacity for inhalers due to the expected increase in sales volumes in the coming years.</w:t>
      </w:r>
    </w:p>
    <w:p w14:paraId="4A543B8A" w14:textId="77777777" w:rsidR="00E1198C" w:rsidRDefault="00000000">
      <w:pPr>
        <w:pStyle w:val="Tekstpodstawowy"/>
        <w:spacing w:before="134"/>
        <w:ind w:left="510"/>
        <w:jc w:val="both"/>
      </w:pPr>
      <w:r>
        <w:t>The Company’s portfolio of generic drugs is presented below:</w:t>
      </w:r>
    </w:p>
    <w:p w14:paraId="1C7CF6AD" w14:textId="77777777" w:rsidR="00E1198C" w:rsidRDefault="00000000">
      <w:pPr>
        <w:pStyle w:val="Tekstpodstawowy"/>
        <w:spacing w:before="152"/>
        <w:ind w:left="510"/>
        <w:jc w:val="both"/>
      </w:pPr>
      <w:r>
        <w:t>Salmex (salmeterol + fluticasone) – responsible for 43.3% of the Company’s drug sales in Poland in 2024.</w:t>
      </w:r>
    </w:p>
    <w:p w14:paraId="011000A6" w14:textId="77777777" w:rsidR="00E1198C" w:rsidRDefault="00000000">
      <w:pPr>
        <w:pStyle w:val="Tekstpodstawowy"/>
        <w:spacing w:before="152" w:line="276" w:lineRule="auto"/>
        <w:ind w:left="510" w:right="474"/>
        <w:jc w:val="both"/>
      </w:pPr>
      <w:r>
        <w:t>The Company sells and produces Salmex in the form of a powder administered using a dry powder inhaler (DPI). Salmeterol causes bronchi and lung dilation, and fluticasone has a strong anti-inflammatory effect. The two main indications for the use of Salmex are bronchial asthma and chronic obstructive pulmonary disease ("COPD"). A key element in inhalation drugs is the way in which they are administered, usually using dosing devices called inhalers. The company has its own unique powder inhaler based on a disc-type inhaler, which makes its use   interchangeable  with the reference drug.</w:t>
      </w:r>
    </w:p>
    <w:p w14:paraId="5DF5A3D0" w14:textId="77777777" w:rsidR="00E1198C" w:rsidRDefault="00000000">
      <w:pPr>
        <w:pStyle w:val="Tekstpodstawowy"/>
        <w:spacing w:before="120" w:line="271" w:lineRule="auto"/>
        <w:ind w:left="510" w:right="481"/>
        <w:jc w:val="both"/>
      </w:pPr>
      <w:r>
        <w:t>In Poland, Salmex was introduced in early 2013 as the first replacement for the drug substitute to Seretide Disk. All doses of Salmex are included on the list of reimbursed drugs.</w:t>
      </w:r>
    </w:p>
    <w:p w14:paraId="339A55A8" w14:textId="77777777" w:rsidR="00E1198C" w:rsidRDefault="00E1198C">
      <w:pPr>
        <w:spacing w:line="271" w:lineRule="auto"/>
        <w:jc w:val="both"/>
        <w:sectPr w:rsidR="00E1198C">
          <w:pgSz w:w="11900" w:h="16840"/>
          <w:pgMar w:top="820" w:right="320" w:bottom="920" w:left="300" w:header="0" w:footer="726" w:gutter="0"/>
          <w:cols w:space="708"/>
        </w:sectPr>
      </w:pPr>
    </w:p>
    <w:p w14:paraId="42D4CCF9" w14:textId="77777777" w:rsidR="00E1198C" w:rsidRDefault="00000000">
      <w:pPr>
        <w:pStyle w:val="Tekstpodstawowy"/>
        <w:spacing w:before="61" w:line="283" w:lineRule="auto"/>
        <w:ind w:left="510" w:right="472"/>
      </w:pPr>
      <w:r>
        <w:lastRenderedPageBreak/>
        <w:t xml:space="preserve">In 2024, Salmex maintained its leading position in Poland with a stable market share of 33.9% in value and 34.3% in volume, according to </w:t>
      </w:r>
      <w:proofErr w:type="spellStart"/>
      <w:r>
        <w:t>IQVIA</w:t>
      </w:r>
      <w:proofErr w:type="spellEnd"/>
      <w:r>
        <w:t xml:space="preserve"> data for 2024, leaving behind competitive products such as GSK, </w:t>
      </w:r>
      <w:proofErr w:type="spellStart"/>
      <w:r>
        <w:t>Polfarmex</w:t>
      </w:r>
      <w:proofErr w:type="spellEnd"/>
      <w:r>
        <w:t>.</w:t>
      </w:r>
    </w:p>
    <w:p w14:paraId="78C8361C" w14:textId="77777777" w:rsidR="00E1198C" w:rsidRDefault="00000000">
      <w:pPr>
        <w:pStyle w:val="Tekstpodstawowy"/>
        <w:spacing w:before="112" w:line="405" w:lineRule="auto"/>
        <w:ind w:left="510" w:right="3234"/>
      </w:pPr>
      <w:r>
        <w:t>Salmex is offered in inhalers containing 60 doses in three different dose combinations: 50 mg salmeterol with 100 mg fluticasone,</w:t>
      </w:r>
    </w:p>
    <w:p w14:paraId="33D0BF37" w14:textId="77777777" w:rsidR="00E1198C" w:rsidRDefault="00000000">
      <w:pPr>
        <w:pStyle w:val="Tekstpodstawowy"/>
        <w:spacing w:line="405" w:lineRule="auto"/>
        <w:ind w:left="510" w:right="7789"/>
      </w:pPr>
      <w:r>
        <w:t>50 mg salmeterol with 250 mg fluticasone, 50 mg salmeterol with 500 mg fluticasone.</w:t>
      </w:r>
    </w:p>
    <w:p w14:paraId="6A44824F" w14:textId="77777777" w:rsidR="00E1198C" w:rsidRDefault="00000000">
      <w:pPr>
        <w:pStyle w:val="Tekstpodstawowy"/>
        <w:ind w:left="510"/>
      </w:pPr>
      <w:r>
        <w:t>Ketrel (quetiapine) – accounted for approx. 27% of the Company's drug sales in Poland in 2024.</w:t>
      </w:r>
    </w:p>
    <w:p w14:paraId="61480F07" w14:textId="77777777" w:rsidR="00E1198C" w:rsidRDefault="00000000">
      <w:pPr>
        <w:pStyle w:val="Tekstpodstawowy"/>
        <w:spacing w:before="152" w:line="278" w:lineRule="auto"/>
        <w:ind w:left="510" w:right="481"/>
        <w:jc w:val="both"/>
      </w:pPr>
      <w:r>
        <w:t>Quetiapine is one of the standard drugs used in adult patients with bipolar disorder, which includes the treatment of acute mania or hypomania phase and acute bipolar depression (moderate and severe) and is a first-line therapy according to the guidelines of the National Institute of Health and Care. In Poland, the reimbursement also includes additional medical indications not listed in the Summary of Product Characteristics ("off-label use"), including a wide range of psychiatric disorders in patients with dementia.</w:t>
      </w:r>
    </w:p>
    <w:p w14:paraId="247562D3" w14:textId="1C35D3CE" w:rsidR="00E1198C" w:rsidRDefault="00000000">
      <w:pPr>
        <w:pStyle w:val="Tekstpodstawowy"/>
        <w:spacing w:before="117" w:line="271" w:lineRule="auto"/>
        <w:ind w:left="510" w:right="483"/>
        <w:jc w:val="both"/>
      </w:pPr>
      <w:r>
        <w:t xml:space="preserve">The drug was launched in 2006 as the first pharmaceutical product with quetiapine as an active substance. Ketrel is the market leader, with 68.5% market share in by volume and 47.8% in by value, according to </w:t>
      </w:r>
      <w:proofErr w:type="spellStart"/>
      <w:r>
        <w:t>IQVIA</w:t>
      </w:r>
      <w:proofErr w:type="spellEnd"/>
      <w:r>
        <w:t xml:space="preserve"> data for 2024.</w:t>
      </w:r>
    </w:p>
    <w:p w14:paraId="465D05FA" w14:textId="77777777" w:rsidR="00E1198C" w:rsidRDefault="00000000" w:rsidP="00650FD4">
      <w:pPr>
        <w:pStyle w:val="Tekstpodstawowy"/>
        <w:spacing w:before="122" w:line="405" w:lineRule="auto"/>
        <w:ind w:left="510" w:right="5751"/>
        <w:jc w:val="both"/>
      </w:pPr>
      <w:r>
        <w:t>Ketrel is available in three doses: 25mg – packs of 30 and 60 tablets,</w:t>
      </w:r>
    </w:p>
    <w:p w14:paraId="79BB330A" w14:textId="77777777" w:rsidR="00E1198C" w:rsidRDefault="00000000">
      <w:pPr>
        <w:pStyle w:val="Tekstpodstawowy"/>
        <w:spacing w:before="11"/>
        <w:ind w:left="510"/>
      </w:pPr>
      <w:r>
        <w:t>100mg – pack of 60 tablets,</w:t>
      </w:r>
    </w:p>
    <w:p w14:paraId="1DA20411" w14:textId="77777777" w:rsidR="00E1198C" w:rsidRDefault="00000000">
      <w:pPr>
        <w:pStyle w:val="Tekstpodstawowy"/>
        <w:spacing w:before="152"/>
        <w:ind w:left="510"/>
      </w:pPr>
      <w:r>
        <w:t>200mg – pack of 60 tablets.</w:t>
      </w:r>
    </w:p>
    <w:p w14:paraId="6B82B659" w14:textId="77777777" w:rsidR="00E1198C" w:rsidRDefault="00000000">
      <w:pPr>
        <w:pStyle w:val="Tekstpodstawowy"/>
        <w:spacing w:before="152" w:line="405" w:lineRule="auto"/>
        <w:ind w:left="510" w:right="1694"/>
      </w:pPr>
      <w:r>
        <w:t xml:space="preserve">The market for quetiapine-based drugs is highly competitive, with Krka and </w:t>
      </w:r>
      <w:proofErr w:type="spellStart"/>
      <w:r>
        <w:t>Adamed</w:t>
      </w:r>
      <w:proofErr w:type="spellEnd"/>
      <w:r>
        <w:t xml:space="preserve"> among the Company’s main competitors. Zarixa accounted for 16.9% of the Company’s drug sales in Poland in 2024.</w:t>
      </w:r>
    </w:p>
    <w:p w14:paraId="109A5AB0" w14:textId="77777777" w:rsidR="00E1198C" w:rsidRDefault="00000000">
      <w:pPr>
        <w:pStyle w:val="Tekstpodstawowy"/>
        <w:spacing w:line="283" w:lineRule="auto"/>
        <w:ind w:left="510" w:right="472"/>
      </w:pPr>
      <w:r>
        <w:t xml:space="preserve">In 2024, Zarixa was one of the leading generic </w:t>
      </w:r>
      <w:proofErr w:type="spellStart"/>
      <w:r>
        <w:t>rivaroxabans</w:t>
      </w:r>
      <w:proofErr w:type="spellEnd"/>
      <w:r>
        <w:t xml:space="preserve"> in Poland with a market share of 7.2% by value and 12.5% by volume, according to </w:t>
      </w:r>
      <w:proofErr w:type="spellStart"/>
      <w:r>
        <w:t>IQVIA</w:t>
      </w:r>
      <w:proofErr w:type="spellEnd"/>
      <w:r>
        <w:t xml:space="preserve"> data for 2024.</w:t>
      </w:r>
    </w:p>
    <w:p w14:paraId="0C95CA36" w14:textId="77777777" w:rsidR="00E1198C" w:rsidRDefault="00000000" w:rsidP="00650FD4">
      <w:pPr>
        <w:pStyle w:val="Tekstpodstawowy"/>
        <w:spacing w:before="111" w:line="405" w:lineRule="auto"/>
        <w:ind w:left="510" w:right="5468"/>
      </w:pPr>
      <w:r>
        <w:t>Zarixa is available in four doses: 2.5 mg – packages of 28 capsules,</w:t>
      </w:r>
    </w:p>
    <w:p w14:paraId="697B3CE7" w14:textId="77777777" w:rsidR="00E1198C" w:rsidRDefault="00000000">
      <w:pPr>
        <w:pStyle w:val="Tekstpodstawowy"/>
        <w:ind w:left="510"/>
      </w:pPr>
      <w:r>
        <w:t>10 mg – packages of 10 and 30 capsules,</w:t>
      </w:r>
    </w:p>
    <w:p w14:paraId="37DC481B" w14:textId="77777777" w:rsidR="00E1198C" w:rsidRDefault="00000000">
      <w:pPr>
        <w:pStyle w:val="Tekstpodstawowy"/>
        <w:spacing w:before="152"/>
        <w:ind w:left="510"/>
      </w:pPr>
      <w:r>
        <w:t>15 mg – packages of 14 and 28 capsules,</w:t>
      </w:r>
    </w:p>
    <w:p w14:paraId="18C6F3A6" w14:textId="77777777" w:rsidR="00E1198C" w:rsidRDefault="00000000">
      <w:pPr>
        <w:pStyle w:val="Tekstpodstawowy"/>
        <w:spacing w:before="152"/>
        <w:ind w:left="510"/>
      </w:pPr>
      <w:r>
        <w:t>20 mg – packages of 14, 28, and 56 capsules.</w:t>
      </w:r>
    </w:p>
    <w:p w14:paraId="237DF7DB" w14:textId="77777777" w:rsidR="00E1198C" w:rsidRDefault="00000000">
      <w:pPr>
        <w:pStyle w:val="Tekstpodstawowy"/>
        <w:spacing w:before="151"/>
        <w:ind w:left="510"/>
      </w:pPr>
      <w:r>
        <w:t>Rivaroxaban is used in:</w:t>
      </w:r>
    </w:p>
    <w:p w14:paraId="329A4A27" w14:textId="77777777" w:rsidR="00E1198C" w:rsidRDefault="00000000">
      <w:pPr>
        <w:pStyle w:val="Akapitzlist"/>
        <w:numPr>
          <w:ilvl w:val="0"/>
          <w:numId w:val="42"/>
        </w:numPr>
        <w:tabs>
          <w:tab w:val="left" w:pos="605"/>
        </w:tabs>
        <w:spacing w:before="163" w:line="271" w:lineRule="auto"/>
        <w:ind w:right="479" w:firstLine="0"/>
        <w:jc w:val="both"/>
        <w:rPr>
          <w:sz w:val="18"/>
        </w:rPr>
      </w:pPr>
      <w:r>
        <w:rPr>
          <w:sz w:val="18"/>
        </w:rPr>
        <w:t>prevention of stroke and peripheral embolism in adults with non-valvular atrial fibrillation with one or more risk factors;</w:t>
      </w:r>
    </w:p>
    <w:p w14:paraId="641B797B" w14:textId="77777777" w:rsidR="00E1198C" w:rsidRDefault="00000000">
      <w:pPr>
        <w:pStyle w:val="Akapitzlist"/>
        <w:numPr>
          <w:ilvl w:val="0"/>
          <w:numId w:val="42"/>
        </w:numPr>
        <w:tabs>
          <w:tab w:val="left" w:pos="605"/>
        </w:tabs>
        <w:spacing w:before="122"/>
        <w:ind w:left="605" w:hanging="95"/>
        <w:rPr>
          <w:sz w:val="18"/>
        </w:rPr>
      </w:pPr>
      <w:r>
        <w:rPr>
          <w:sz w:val="18"/>
        </w:rPr>
        <w:t>treatment of deep vein thrombosis and pulmonary embolism and prevention of their recurrence in adults;</w:t>
      </w:r>
    </w:p>
    <w:p w14:paraId="0D10502F" w14:textId="77777777" w:rsidR="00E1198C" w:rsidRDefault="00000000">
      <w:pPr>
        <w:pStyle w:val="Akapitzlist"/>
        <w:numPr>
          <w:ilvl w:val="0"/>
          <w:numId w:val="42"/>
        </w:numPr>
        <w:tabs>
          <w:tab w:val="left" w:pos="605"/>
        </w:tabs>
        <w:spacing w:before="152"/>
        <w:ind w:left="605" w:hanging="95"/>
        <w:rPr>
          <w:sz w:val="18"/>
        </w:rPr>
      </w:pPr>
      <w:r>
        <w:rPr>
          <w:sz w:val="18"/>
        </w:rPr>
        <w:t>treatment of venous thromboembolism and prevention of its recurrence in children and adolescents under 18 years of age and weighing from 30 kg.</w:t>
      </w:r>
    </w:p>
    <w:p w14:paraId="45E0CF26" w14:textId="77777777" w:rsidR="00E1198C" w:rsidRDefault="00000000">
      <w:pPr>
        <w:pStyle w:val="Tekstpodstawowy"/>
        <w:spacing w:before="157" w:line="273" w:lineRule="auto"/>
        <w:ind w:left="510" w:right="476"/>
        <w:jc w:val="both"/>
      </w:pPr>
      <w:r>
        <w:t>Zarixa was introduced to the market in 2025. The product is reimbursed in specific indications, mainly related to the prevention and treatment of thrombosis and embolism (non-valvular atrial fibrillation, deep vein thrombosis and pulmonary embolism, venous thromboembolic complications after orthopedic procedures).</w:t>
      </w:r>
    </w:p>
    <w:p w14:paraId="5C77C7DC" w14:textId="77777777" w:rsidR="00E1198C" w:rsidRDefault="00000000">
      <w:pPr>
        <w:pStyle w:val="Tekstpodstawowy"/>
        <w:spacing w:before="121"/>
        <w:ind w:left="510"/>
      </w:pPr>
      <w:r>
        <w:t>Donepex (donepezil) – responsible for about 6.5% of the Company’s drug sales in Poland in 2024.</w:t>
      </w:r>
    </w:p>
    <w:p w14:paraId="7A3B21B4" w14:textId="77777777" w:rsidR="00E1198C" w:rsidRDefault="00000000">
      <w:pPr>
        <w:pStyle w:val="Tekstpodstawowy"/>
        <w:spacing w:before="163" w:line="273" w:lineRule="auto"/>
        <w:ind w:left="510" w:right="480"/>
        <w:jc w:val="both"/>
      </w:pPr>
      <w:r>
        <w:t xml:space="preserve">Donepezil is used to treat Alzheimer's disease. Donepex was introduced to the market in 2004. The product is reimbursed. Despite having many competitors, Donepex remains the market leader, second only to </w:t>
      </w:r>
      <w:proofErr w:type="spellStart"/>
      <w:r>
        <w:t>Cogiton</w:t>
      </w:r>
      <w:proofErr w:type="spellEnd"/>
      <w:r>
        <w:t xml:space="preserve"> (</w:t>
      </w:r>
      <w:proofErr w:type="spellStart"/>
      <w:r>
        <w:t>Biofarm</w:t>
      </w:r>
      <w:proofErr w:type="spellEnd"/>
      <w:r>
        <w:t xml:space="preserve">) and effectively competing with </w:t>
      </w:r>
      <w:proofErr w:type="spellStart"/>
      <w:r>
        <w:t>Adamed</w:t>
      </w:r>
      <w:proofErr w:type="spellEnd"/>
      <w:r>
        <w:t xml:space="preserve">, Actavis and others (according to </w:t>
      </w:r>
      <w:proofErr w:type="spellStart"/>
      <w:r>
        <w:t>IQVIA</w:t>
      </w:r>
      <w:proofErr w:type="spellEnd"/>
      <w:r>
        <w:t xml:space="preserve">). The Company’s market share in this substance amounts to 37.5% by volume and 34.2% by value, according to </w:t>
      </w:r>
      <w:proofErr w:type="spellStart"/>
      <w:r>
        <w:t>IQVIA</w:t>
      </w:r>
      <w:proofErr w:type="spellEnd"/>
      <w:r>
        <w:t xml:space="preserve"> data for 2024.</w:t>
      </w:r>
    </w:p>
    <w:p w14:paraId="4988EDFA" w14:textId="77777777" w:rsidR="00E1198C" w:rsidRDefault="00000000">
      <w:pPr>
        <w:pStyle w:val="Tekstpodstawowy"/>
        <w:spacing w:before="123"/>
        <w:ind w:left="510"/>
        <w:jc w:val="both"/>
      </w:pPr>
      <w:r>
        <w:t>Donepex is offered in two doses:</w:t>
      </w:r>
    </w:p>
    <w:p w14:paraId="251E65C4" w14:textId="77777777" w:rsidR="00E1198C" w:rsidRDefault="00000000">
      <w:pPr>
        <w:pStyle w:val="Tekstpodstawowy"/>
        <w:spacing w:before="152"/>
        <w:ind w:left="510"/>
      </w:pPr>
      <w:r>
        <w:t>5mg – pack of 28 tablets,</w:t>
      </w:r>
    </w:p>
    <w:p w14:paraId="1A32D0CB" w14:textId="77777777" w:rsidR="00E1198C" w:rsidRDefault="00000000">
      <w:pPr>
        <w:pStyle w:val="Tekstpodstawowy"/>
        <w:spacing w:before="152"/>
        <w:ind w:left="510"/>
      </w:pPr>
      <w:r>
        <w:t>10mg – pack of 28 tablets</w:t>
      </w:r>
    </w:p>
    <w:p w14:paraId="2A80C541" w14:textId="580B412E" w:rsidR="00E1198C" w:rsidRDefault="00000000">
      <w:pPr>
        <w:pStyle w:val="Tekstpodstawowy"/>
        <w:spacing w:before="151"/>
        <w:ind w:left="510"/>
      </w:pPr>
      <w:r>
        <w:t>Valzek (valsartan) – responsible for about 3.8% of value of the Company’s drug sales in Poland in 2024.</w:t>
      </w:r>
    </w:p>
    <w:p w14:paraId="291C095C" w14:textId="77777777" w:rsidR="00E1198C" w:rsidRDefault="00000000">
      <w:pPr>
        <w:pStyle w:val="Tekstpodstawowy"/>
        <w:spacing w:before="163"/>
        <w:ind w:left="510"/>
      </w:pPr>
      <w:r>
        <w:t>Valzek contains a valsartan, a molecule belonging to angiotensin II receptor agonists. Valzek is used to treat patients with</w:t>
      </w:r>
    </w:p>
    <w:p w14:paraId="339FD17C" w14:textId="77777777" w:rsidR="00E1198C" w:rsidRDefault="00E1198C">
      <w:pPr>
        <w:sectPr w:rsidR="00E1198C">
          <w:pgSz w:w="11900" w:h="16840"/>
          <w:pgMar w:top="820" w:right="320" w:bottom="920" w:left="300" w:header="0" w:footer="726" w:gutter="0"/>
          <w:cols w:space="708"/>
        </w:sectPr>
      </w:pPr>
    </w:p>
    <w:p w14:paraId="15344B54" w14:textId="77777777" w:rsidR="00E1198C" w:rsidRDefault="00000000">
      <w:pPr>
        <w:pStyle w:val="Tekstpodstawowy"/>
        <w:spacing w:before="61" w:line="283" w:lineRule="auto"/>
        <w:ind w:left="510" w:right="472"/>
      </w:pPr>
      <w:r>
        <w:lastRenderedPageBreak/>
        <w:t>spontaneous hypertension, coronary heart disease and heart failure. Valzek received a marketing authorization in 2009 and has been on the list of reimbursed medicines since 2012.</w:t>
      </w:r>
    </w:p>
    <w:p w14:paraId="123AA1B9" w14:textId="77777777" w:rsidR="00E1198C" w:rsidRDefault="00000000">
      <w:pPr>
        <w:pStyle w:val="Tekstpodstawowy"/>
        <w:spacing w:before="112"/>
        <w:ind w:left="510"/>
      </w:pPr>
      <w:proofErr w:type="spellStart"/>
      <w:r>
        <w:t>Valzek’s</w:t>
      </w:r>
      <w:proofErr w:type="spellEnd"/>
      <w:r>
        <w:t xml:space="preserve"> market share reached 10.4% by volume and 7.3% by value in 2024 (according to </w:t>
      </w:r>
      <w:proofErr w:type="spellStart"/>
      <w:r>
        <w:t>IQVIA</w:t>
      </w:r>
      <w:proofErr w:type="spellEnd"/>
      <w:r>
        <w:t>).</w:t>
      </w:r>
    </w:p>
    <w:p w14:paraId="6E5ADF44" w14:textId="77777777" w:rsidR="00E1198C" w:rsidRDefault="00E1198C">
      <w:pPr>
        <w:pStyle w:val="Tekstpodstawowy"/>
        <w:spacing w:before="168"/>
      </w:pPr>
    </w:p>
    <w:p w14:paraId="2F342239" w14:textId="77777777" w:rsidR="00E1198C" w:rsidRDefault="00000000">
      <w:pPr>
        <w:pStyle w:val="Akapitzlist"/>
        <w:numPr>
          <w:ilvl w:val="3"/>
          <w:numId w:val="43"/>
        </w:numPr>
        <w:tabs>
          <w:tab w:val="left" w:pos="1374"/>
        </w:tabs>
        <w:ind w:hanging="864"/>
        <w:rPr>
          <w:sz w:val="18"/>
        </w:rPr>
      </w:pPr>
      <w:r>
        <w:rPr>
          <w:color w:val="F07D00"/>
          <w:sz w:val="18"/>
        </w:rPr>
        <w:t>Markets</w:t>
      </w:r>
    </w:p>
    <w:p w14:paraId="7E11BB8C" w14:textId="77777777" w:rsidR="00E1198C" w:rsidRDefault="00E1198C">
      <w:pPr>
        <w:pStyle w:val="Tekstpodstawowy"/>
        <w:spacing w:before="56"/>
      </w:pPr>
    </w:p>
    <w:p w14:paraId="0954D7B5" w14:textId="77777777" w:rsidR="00E1198C" w:rsidRDefault="00000000">
      <w:pPr>
        <w:pStyle w:val="Tekstpodstawowy"/>
        <w:ind w:left="510"/>
      </w:pPr>
      <w:r>
        <w:rPr>
          <w:color w:val="231F20"/>
        </w:rPr>
        <w:t>The Company exports the Salmex product, which generates 100% of export revenues.</w:t>
      </w:r>
    </w:p>
    <w:p w14:paraId="16E3F952" w14:textId="77777777" w:rsidR="00E1198C" w:rsidRDefault="00000000">
      <w:pPr>
        <w:pStyle w:val="Akapitzlist"/>
        <w:numPr>
          <w:ilvl w:val="4"/>
          <w:numId w:val="43"/>
        </w:numPr>
        <w:tabs>
          <w:tab w:val="left" w:pos="1623"/>
        </w:tabs>
        <w:spacing w:before="99"/>
        <w:ind w:left="1623" w:hanging="337"/>
        <w:rPr>
          <w:sz w:val="18"/>
        </w:rPr>
      </w:pPr>
      <w:r>
        <w:rPr>
          <w:sz w:val="18"/>
        </w:rPr>
        <w:t>Salmex – PLN 46 million</w:t>
      </w:r>
    </w:p>
    <w:p w14:paraId="42E08BF7" w14:textId="77777777" w:rsidR="00E1198C" w:rsidRDefault="00000000">
      <w:pPr>
        <w:pStyle w:val="Akapitzlist"/>
        <w:numPr>
          <w:ilvl w:val="4"/>
          <w:numId w:val="43"/>
        </w:numPr>
        <w:tabs>
          <w:tab w:val="left" w:pos="1623"/>
        </w:tabs>
        <w:spacing w:before="37"/>
        <w:ind w:left="1623" w:hanging="337"/>
        <w:rPr>
          <w:sz w:val="18"/>
        </w:rPr>
      </w:pPr>
      <w:r>
        <w:rPr>
          <w:sz w:val="18"/>
        </w:rPr>
        <w:t>Total exports – PLN 41.6 million</w:t>
      </w:r>
    </w:p>
    <w:p w14:paraId="3B666004" w14:textId="77777777" w:rsidR="00E1198C" w:rsidRDefault="00000000">
      <w:pPr>
        <w:pStyle w:val="Tekstpodstawowy"/>
        <w:spacing w:before="91"/>
        <w:ind w:left="510"/>
      </w:pPr>
      <w:r>
        <w:rPr>
          <w:color w:val="231F20"/>
        </w:rPr>
        <w:t>Export sales are generated through licensed partners:</w:t>
      </w:r>
    </w:p>
    <w:p w14:paraId="47200C7A" w14:textId="6BC8AE63" w:rsidR="00E1198C" w:rsidRPr="000934DB" w:rsidRDefault="00000000" w:rsidP="000934DB">
      <w:pPr>
        <w:pStyle w:val="Akapitzlist"/>
        <w:numPr>
          <w:ilvl w:val="4"/>
          <w:numId w:val="43"/>
        </w:numPr>
        <w:tabs>
          <w:tab w:val="left" w:pos="1623"/>
        </w:tabs>
        <w:spacing w:before="110" w:line="278" w:lineRule="exact"/>
        <w:ind w:left="1623" w:hanging="337"/>
        <w:rPr>
          <w:sz w:val="18"/>
        </w:rPr>
      </w:pPr>
      <w:r>
        <w:rPr>
          <w:sz w:val="18"/>
        </w:rPr>
        <w:t>Glenmark – UK, Germany, Italy, Sweden, Denmark, Finland, Norway, Iceland, the Netherlands, Czechia, Slovakia; Saudi Arabia</w:t>
      </w:r>
    </w:p>
    <w:p w14:paraId="338B83C8" w14:textId="77777777" w:rsidR="00E1198C" w:rsidRDefault="00000000">
      <w:pPr>
        <w:pStyle w:val="Akapitzlist"/>
        <w:numPr>
          <w:ilvl w:val="4"/>
          <w:numId w:val="43"/>
        </w:numPr>
        <w:tabs>
          <w:tab w:val="left" w:pos="1623"/>
        </w:tabs>
        <w:spacing w:before="53"/>
        <w:ind w:left="1623" w:hanging="337"/>
        <w:rPr>
          <w:sz w:val="18"/>
        </w:rPr>
      </w:pPr>
      <w:proofErr w:type="spellStart"/>
      <w:r>
        <w:rPr>
          <w:sz w:val="18"/>
        </w:rPr>
        <w:t>Viatris</w:t>
      </w:r>
      <w:proofErr w:type="spellEnd"/>
      <w:r>
        <w:rPr>
          <w:sz w:val="18"/>
        </w:rPr>
        <w:t xml:space="preserve"> – France;</w:t>
      </w:r>
    </w:p>
    <w:p w14:paraId="0A4B52DF" w14:textId="77777777" w:rsidR="00E1198C" w:rsidRDefault="00000000">
      <w:pPr>
        <w:pStyle w:val="Akapitzlist"/>
        <w:numPr>
          <w:ilvl w:val="4"/>
          <w:numId w:val="43"/>
        </w:numPr>
        <w:tabs>
          <w:tab w:val="left" w:pos="1623"/>
        </w:tabs>
        <w:spacing w:before="49"/>
        <w:ind w:left="1623" w:hanging="337"/>
        <w:rPr>
          <w:sz w:val="18"/>
        </w:rPr>
      </w:pPr>
      <w:proofErr w:type="spellStart"/>
      <w:r>
        <w:rPr>
          <w:sz w:val="18"/>
        </w:rPr>
        <w:t>Genericon</w:t>
      </w:r>
      <w:proofErr w:type="spellEnd"/>
      <w:r>
        <w:rPr>
          <w:sz w:val="18"/>
        </w:rPr>
        <w:t xml:space="preserve"> – Austria;</w:t>
      </w:r>
    </w:p>
    <w:p w14:paraId="06B6E5DE" w14:textId="77777777" w:rsidR="00E1198C" w:rsidRPr="00650FD4" w:rsidRDefault="00000000">
      <w:pPr>
        <w:pStyle w:val="Akapitzlist"/>
        <w:numPr>
          <w:ilvl w:val="4"/>
          <w:numId w:val="43"/>
        </w:numPr>
        <w:tabs>
          <w:tab w:val="left" w:pos="1623"/>
        </w:tabs>
        <w:spacing w:before="38"/>
        <w:ind w:left="1623" w:hanging="337"/>
        <w:rPr>
          <w:sz w:val="18"/>
          <w:lang w:val="pl-PL"/>
        </w:rPr>
      </w:pPr>
      <w:proofErr w:type="spellStart"/>
      <w:r w:rsidRPr="00650FD4">
        <w:rPr>
          <w:sz w:val="18"/>
          <w:lang w:val="pl-PL"/>
        </w:rPr>
        <w:t>MaxPharma</w:t>
      </w:r>
      <w:proofErr w:type="spellEnd"/>
      <w:r w:rsidRPr="00650FD4">
        <w:rPr>
          <w:sz w:val="18"/>
          <w:lang w:val="pl-PL"/>
        </w:rPr>
        <w:t xml:space="preserve"> – </w:t>
      </w:r>
      <w:proofErr w:type="spellStart"/>
      <w:r w:rsidRPr="00650FD4">
        <w:rPr>
          <w:sz w:val="18"/>
          <w:lang w:val="pl-PL"/>
        </w:rPr>
        <w:t>Latvia</w:t>
      </w:r>
      <w:proofErr w:type="spellEnd"/>
      <w:r w:rsidRPr="00650FD4">
        <w:rPr>
          <w:sz w:val="18"/>
          <w:lang w:val="pl-PL"/>
        </w:rPr>
        <w:t xml:space="preserve">, </w:t>
      </w:r>
      <w:proofErr w:type="spellStart"/>
      <w:r w:rsidRPr="00650FD4">
        <w:rPr>
          <w:sz w:val="18"/>
          <w:lang w:val="pl-PL"/>
        </w:rPr>
        <w:t>Lithuania</w:t>
      </w:r>
      <w:proofErr w:type="spellEnd"/>
      <w:r w:rsidRPr="00650FD4">
        <w:rPr>
          <w:sz w:val="18"/>
          <w:lang w:val="pl-PL"/>
        </w:rPr>
        <w:t xml:space="preserve">, </w:t>
      </w:r>
      <w:proofErr w:type="spellStart"/>
      <w:r w:rsidRPr="00650FD4">
        <w:rPr>
          <w:sz w:val="18"/>
          <w:lang w:val="pl-PL"/>
        </w:rPr>
        <w:t>Ukraine</w:t>
      </w:r>
      <w:proofErr w:type="spellEnd"/>
      <w:r w:rsidRPr="00650FD4">
        <w:rPr>
          <w:sz w:val="18"/>
          <w:lang w:val="pl-PL"/>
        </w:rPr>
        <w:t xml:space="preserve">, </w:t>
      </w:r>
      <w:proofErr w:type="spellStart"/>
      <w:r w:rsidRPr="00650FD4">
        <w:rPr>
          <w:sz w:val="18"/>
          <w:lang w:val="pl-PL"/>
        </w:rPr>
        <w:t>Belarus</w:t>
      </w:r>
      <w:proofErr w:type="spellEnd"/>
      <w:r w:rsidRPr="00650FD4">
        <w:rPr>
          <w:sz w:val="18"/>
          <w:lang w:val="pl-PL"/>
        </w:rPr>
        <w:t xml:space="preserve">, </w:t>
      </w:r>
      <w:proofErr w:type="spellStart"/>
      <w:r w:rsidRPr="00650FD4">
        <w:rPr>
          <w:sz w:val="18"/>
          <w:lang w:val="pl-PL"/>
        </w:rPr>
        <w:t>Kazakhstan</w:t>
      </w:r>
      <w:proofErr w:type="spellEnd"/>
      <w:r w:rsidRPr="00650FD4">
        <w:rPr>
          <w:sz w:val="18"/>
          <w:lang w:val="pl-PL"/>
        </w:rPr>
        <w:t>;</w:t>
      </w:r>
    </w:p>
    <w:p w14:paraId="319D399C" w14:textId="77777777" w:rsidR="00E1198C" w:rsidRDefault="00000000">
      <w:pPr>
        <w:pStyle w:val="Akapitzlist"/>
        <w:numPr>
          <w:ilvl w:val="4"/>
          <w:numId w:val="43"/>
        </w:numPr>
        <w:tabs>
          <w:tab w:val="left" w:pos="1623"/>
        </w:tabs>
        <w:spacing w:before="38"/>
        <w:ind w:left="1623" w:hanging="337"/>
        <w:rPr>
          <w:sz w:val="18"/>
        </w:rPr>
      </w:pPr>
      <w:proofErr w:type="spellStart"/>
      <w:r>
        <w:rPr>
          <w:sz w:val="18"/>
        </w:rPr>
        <w:t>Salvus</w:t>
      </w:r>
      <w:proofErr w:type="spellEnd"/>
      <w:r>
        <w:rPr>
          <w:sz w:val="18"/>
        </w:rPr>
        <w:t xml:space="preserve"> – Croatia, Bosnia;</w:t>
      </w:r>
    </w:p>
    <w:p w14:paraId="77B7E5D8" w14:textId="77777777" w:rsidR="00E1198C" w:rsidRDefault="00000000">
      <w:pPr>
        <w:pStyle w:val="Akapitzlist"/>
        <w:numPr>
          <w:ilvl w:val="4"/>
          <w:numId w:val="43"/>
        </w:numPr>
        <w:tabs>
          <w:tab w:val="left" w:pos="1623"/>
        </w:tabs>
        <w:spacing w:before="37"/>
        <w:ind w:left="1623" w:hanging="337"/>
        <w:rPr>
          <w:sz w:val="18"/>
        </w:rPr>
      </w:pPr>
      <w:r>
        <w:rPr>
          <w:sz w:val="18"/>
        </w:rPr>
        <w:t>Finao Biotech – Portugal, Dominican Republic, Guatemala</w:t>
      </w:r>
    </w:p>
    <w:p w14:paraId="64F976F1" w14:textId="442F716F" w:rsidR="00E1198C" w:rsidRDefault="00000000">
      <w:pPr>
        <w:pStyle w:val="Akapitzlist"/>
        <w:numPr>
          <w:ilvl w:val="4"/>
          <w:numId w:val="43"/>
        </w:numPr>
        <w:tabs>
          <w:tab w:val="left" w:pos="1623"/>
        </w:tabs>
        <w:spacing w:before="38"/>
        <w:ind w:left="1623" w:hanging="337"/>
        <w:rPr>
          <w:sz w:val="18"/>
        </w:rPr>
      </w:pPr>
      <w:r>
        <w:rPr>
          <w:sz w:val="18"/>
        </w:rPr>
        <w:t xml:space="preserve">Galaxy Pharma </w:t>
      </w:r>
      <w:r w:rsidR="008E7DA7">
        <w:rPr>
          <w:sz w:val="18"/>
        </w:rPr>
        <w:t>–</w:t>
      </w:r>
      <w:r>
        <w:rPr>
          <w:sz w:val="18"/>
        </w:rPr>
        <w:t xml:space="preserve"> Pakistan</w:t>
      </w:r>
    </w:p>
    <w:p w14:paraId="5154F5E8" w14:textId="77777777" w:rsidR="00E1198C" w:rsidRDefault="00E1198C">
      <w:pPr>
        <w:pStyle w:val="Tekstpodstawowy"/>
      </w:pPr>
    </w:p>
    <w:p w14:paraId="436AB6DF" w14:textId="77777777" w:rsidR="00E1198C" w:rsidRDefault="00E1198C">
      <w:pPr>
        <w:pStyle w:val="Tekstpodstawowy"/>
        <w:spacing w:before="202"/>
      </w:pPr>
    </w:p>
    <w:p w14:paraId="6FF670EF" w14:textId="77777777" w:rsidR="00E1198C" w:rsidRDefault="00000000">
      <w:pPr>
        <w:pStyle w:val="Tekstpodstawowy"/>
        <w:spacing w:line="276" w:lineRule="auto"/>
        <w:ind w:left="510" w:right="478"/>
        <w:jc w:val="both"/>
      </w:pPr>
      <w:r>
        <w:rPr>
          <w:color w:val="231F20"/>
        </w:rPr>
        <w:t>Salmex is commercialized in Europe under various trade names. It has been introduced in almost all licensed areas</w:t>
      </w:r>
      <w:r>
        <w:rPr>
          <w:color w:val="009900"/>
        </w:rPr>
        <w:t xml:space="preserve">, </w:t>
      </w:r>
      <w:r>
        <w:t>with the exception of Spain, Romania, Ireland, Malta and Luxembourg, and outside Europe – Honduras and El Salvador. In 2024, applications were submitted in the following countries during the registration procedure: Saudi Arabia, Mexico, Republic of South Africa, Hong Kong. In October 2024, a registration application was submitted in China. As of the date of publication of this report, the Company confirms that it has obtained marketing authorization for Salmex in the Mexican market. For the product to be introduced to the market there, transfer of analytical methods and signing of a separate quality agreement is necessary.</w:t>
      </w:r>
    </w:p>
    <w:p w14:paraId="5C577E8D" w14:textId="42D05628" w:rsidR="00E1198C" w:rsidRDefault="00000000">
      <w:pPr>
        <w:pStyle w:val="Tekstpodstawowy"/>
        <w:spacing w:before="195" w:line="276" w:lineRule="auto"/>
        <w:ind w:left="510" w:right="474"/>
        <w:jc w:val="both"/>
      </w:pPr>
      <w:r>
        <w:rPr>
          <w:color w:val="231F20"/>
        </w:rPr>
        <w:t xml:space="preserve">The Company consistently implements the strategy of expanding the geographical coverage for Salmex. The key areas currently considered by the Company include: Southeast Asia, China, Middle East, South Africa, Latin America, United States, Australia. (for some of these markets, the Company has already signed license agreements). The Company estimates that reaching these markets is largely dependent on meeting regulatory requirements and/or finding suitable partners in those markets. In the case of the US market, in November 2022, the Company concluded an agreement with Zydus Worldwide DMCC on the joint development of a generic product in relation to the reference product marketed by GlaxoSmithKline plc - Advair and the Company’s transfer </w:t>
      </w:r>
      <w:r>
        <w:t>of exclusive rights to commercialize this product in the US to the partner. The Company expects to start selling in key markets such as the United States and China in a 2-3-year perspective the earliest.</w:t>
      </w:r>
    </w:p>
    <w:p w14:paraId="239EDFA2" w14:textId="77777777" w:rsidR="00E1198C" w:rsidRDefault="00000000">
      <w:pPr>
        <w:pStyle w:val="Tekstpodstawowy"/>
        <w:spacing w:before="116"/>
        <w:ind w:left="510"/>
        <w:jc w:val="both"/>
      </w:pPr>
      <w:r>
        <w:rPr>
          <w:color w:val="231F20"/>
        </w:rPr>
        <w:t>The Company’s strategy does not include extending the geographical scope for the sale of Salmex to the Russian market.</w:t>
      </w:r>
    </w:p>
    <w:p w14:paraId="20F61FB9" w14:textId="77777777" w:rsidR="00E1198C" w:rsidRDefault="00E1198C">
      <w:pPr>
        <w:pStyle w:val="Tekstpodstawowy"/>
        <w:spacing w:before="180"/>
      </w:pPr>
    </w:p>
    <w:p w14:paraId="1D2BB5D4" w14:textId="77777777" w:rsidR="00E1198C" w:rsidRDefault="00000000">
      <w:pPr>
        <w:pStyle w:val="Akapitzlist"/>
        <w:numPr>
          <w:ilvl w:val="3"/>
          <w:numId w:val="43"/>
        </w:numPr>
        <w:tabs>
          <w:tab w:val="left" w:pos="1374"/>
        </w:tabs>
        <w:ind w:hanging="864"/>
        <w:rPr>
          <w:sz w:val="18"/>
        </w:rPr>
      </w:pPr>
      <w:r>
        <w:rPr>
          <w:color w:val="F07D00"/>
          <w:sz w:val="18"/>
        </w:rPr>
        <w:t>Sources of supply</w:t>
      </w:r>
    </w:p>
    <w:p w14:paraId="30EB53A5" w14:textId="77777777" w:rsidR="00E1198C" w:rsidRDefault="00E1198C">
      <w:pPr>
        <w:pStyle w:val="Tekstpodstawowy"/>
        <w:spacing w:before="55"/>
      </w:pPr>
    </w:p>
    <w:p w14:paraId="4EF49B4F" w14:textId="77777777" w:rsidR="00E1198C" w:rsidRDefault="00000000">
      <w:pPr>
        <w:pStyle w:val="Tekstpodstawowy"/>
        <w:spacing w:before="1" w:line="276" w:lineRule="auto"/>
        <w:ind w:left="510" w:right="477"/>
        <w:jc w:val="both"/>
      </w:pPr>
      <w:r>
        <w:rPr>
          <w:color w:val="231F20"/>
        </w:rPr>
        <w:t xml:space="preserve">Active pharmaceutical substances and excipients as well as packaging materials are sourced from external suppliers. The Company maintains a policy of having at least two alternative sources of supply of key active pharmaceutical substances and materials, which reduces the risk of possible shortages (see also </w:t>
      </w:r>
      <w:r>
        <w:rPr>
          <w:i/>
          <w:color w:val="231F20"/>
        </w:rPr>
        <w:t xml:space="preserve">the risk of dependence on and cooperation with suppliers </w:t>
      </w:r>
      <w:r>
        <w:rPr>
          <w:color w:val="231F20"/>
        </w:rPr>
        <w:t xml:space="preserve">in section </w:t>
      </w:r>
      <w:r>
        <w:rPr>
          <w:i/>
          <w:color w:val="231F20"/>
        </w:rPr>
        <w:t>5. Risk factors and threats to the activities of Celon Pharma S.A.</w:t>
      </w:r>
      <w:r>
        <w:rPr>
          <w:color w:val="231F20"/>
        </w:rPr>
        <w:t>). Supplier qualification is based on criteria such as quality, reliability of supply, price and other commercial conditions. No supplier has a share reaching at least 10% of total sales revenues.</w:t>
      </w:r>
    </w:p>
    <w:p w14:paraId="18F712A6" w14:textId="77777777" w:rsidR="00E1198C" w:rsidRDefault="00E1198C">
      <w:pPr>
        <w:pStyle w:val="Tekstpodstawowy"/>
        <w:spacing w:before="132"/>
      </w:pPr>
    </w:p>
    <w:p w14:paraId="599321D3" w14:textId="77777777" w:rsidR="00E1198C" w:rsidRDefault="00000000">
      <w:pPr>
        <w:pStyle w:val="Akapitzlist"/>
        <w:numPr>
          <w:ilvl w:val="2"/>
          <w:numId w:val="43"/>
        </w:numPr>
        <w:tabs>
          <w:tab w:val="left" w:pos="1229"/>
        </w:tabs>
        <w:ind w:left="1229" w:hanging="719"/>
        <w:rPr>
          <w:sz w:val="18"/>
        </w:rPr>
      </w:pPr>
      <w:r>
        <w:rPr>
          <w:color w:val="F07D00"/>
          <w:sz w:val="18"/>
        </w:rPr>
        <w:t>Innovative segment</w:t>
      </w:r>
    </w:p>
    <w:p w14:paraId="7C858C57" w14:textId="77777777" w:rsidR="00E1198C" w:rsidRDefault="00E1198C">
      <w:pPr>
        <w:pStyle w:val="Tekstpodstawowy"/>
        <w:spacing w:before="55"/>
      </w:pPr>
    </w:p>
    <w:p w14:paraId="2A65ED01" w14:textId="77777777" w:rsidR="00E1198C" w:rsidRDefault="00000000">
      <w:pPr>
        <w:pStyle w:val="Tekstpodstawowy"/>
        <w:spacing w:before="1" w:line="244" w:lineRule="auto"/>
        <w:ind w:left="510" w:right="482"/>
        <w:jc w:val="both"/>
      </w:pPr>
      <w:r>
        <w:rPr>
          <w:color w:val="231F20"/>
        </w:rPr>
        <w:t xml:space="preserve">The innovative segment is based on the research and development activity of the Company, which includes integrated own competences, starting from </w:t>
      </w:r>
      <w:r>
        <w:t>the development of the idea for the drug, up to its production for the purposes of clinical trials.</w:t>
      </w:r>
    </w:p>
    <w:p w14:paraId="2341FB88" w14:textId="77777777" w:rsidR="00E1198C" w:rsidRDefault="00000000">
      <w:pPr>
        <w:pStyle w:val="Tekstpodstawowy"/>
        <w:spacing w:before="114"/>
        <w:ind w:left="510"/>
        <w:jc w:val="both"/>
      </w:pPr>
      <w:r>
        <w:t>The Company has its own Research and Development Center in Kazuń Nowy near Warsaw, covering 30,000 sq meters of</w:t>
      </w:r>
    </w:p>
    <w:p w14:paraId="355B64C7" w14:textId="77777777" w:rsidR="00E1198C" w:rsidRDefault="00E1198C">
      <w:pPr>
        <w:jc w:val="both"/>
        <w:sectPr w:rsidR="00E1198C">
          <w:pgSz w:w="11900" w:h="16840"/>
          <w:pgMar w:top="820" w:right="320" w:bottom="920" w:left="300" w:header="0" w:footer="726" w:gutter="0"/>
          <w:cols w:space="708"/>
        </w:sectPr>
      </w:pPr>
    </w:p>
    <w:p w14:paraId="0E35EE01" w14:textId="77777777" w:rsidR="00E1198C" w:rsidRDefault="00000000">
      <w:pPr>
        <w:pStyle w:val="Tekstpodstawowy"/>
        <w:spacing w:before="61" w:line="244" w:lineRule="auto"/>
        <w:ind w:left="510" w:right="483"/>
        <w:jc w:val="both"/>
      </w:pPr>
      <w:r>
        <w:lastRenderedPageBreak/>
        <w:t>R&amp;D space, which allows to increase the Company’s capabilities in terms of the number of research projects carried out in parallel with the currently conducted dozen or so innovative projects to potentially 30 projects implemented in parallel.</w:t>
      </w:r>
    </w:p>
    <w:p w14:paraId="45F84952" w14:textId="77777777" w:rsidR="00E1198C" w:rsidRDefault="00000000">
      <w:pPr>
        <w:pStyle w:val="Tekstpodstawowy"/>
        <w:spacing w:before="115" w:line="242" w:lineRule="auto"/>
        <w:ind w:left="510" w:right="477"/>
        <w:jc w:val="both"/>
      </w:pPr>
      <w:r>
        <w:rPr>
          <w:color w:val="231F20"/>
        </w:rPr>
        <w:t>Despite the fact that research projects on innovative drugs are characterized by, among others, different and variable development potential in terms of potential commercialization of a given substance, the Company believes that its research and development capabilities and experience in this area constitute one of its competitive advantages distinguishing it from the competition and will allow for the development of projects at least until the second phase of clinical trials, i.e. the stage of the so-called proof of concept and their commercialization.</w:t>
      </w:r>
    </w:p>
    <w:p w14:paraId="6121A807" w14:textId="77777777" w:rsidR="00E1198C" w:rsidRDefault="00000000">
      <w:pPr>
        <w:pStyle w:val="Tekstpodstawowy"/>
        <w:spacing w:before="113"/>
        <w:ind w:left="510" w:right="479"/>
        <w:jc w:val="both"/>
      </w:pPr>
      <w:r>
        <w:rPr>
          <w:color w:val="231F20"/>
        </w:rPr>
        <w:t>The company currently focuses on innovative research in four key areas – neuropsychiatry, metabolism, oncology, and inflammatory diseases. A relatively wide scientific specialization diversifies the risk of the Company’s project portfolio. Usually, the Company develops projects for Phase II clinical trials, intending to acquire a partner for Phase III and commercialization. For selected projects, the Company believes that it can finance and independently conduct Phase III clinical trials and commercialize such projects in selected regions such as the United States of America and the European Union without the need for the support of a business partner.</w:t>
      </w:r>
    </w:p>
    <w:p w14:paraId="6337FB31" w14:textId="77777777" w:rsidR="00E1198C" w:rsidRDefault="00000000">
      <w:pPr>
        <w:pStyle w:val="Tekstpodstawowy"/>
        <w:spacing w:before="117"/>
        <w:ind w:left="510" w:right="480"/>
        <w:jc w:val="both"/>
      </w:pPr>
      <w:r>
        <w:rPr>
          <w:color w:val="231F20"/>
        </w:rPr>
        <w:t>In order to further expand its research capabilities and gain access to the most advanced research in the areas in which the Company operates, the Company cooperates closely with recognized Polish and international universities, e.g. in the implementation of research projects financed by the government or the EU, other research institutions and research organizations operating on a commission basis.</w:t>
      </w:r>
    </w:p>
    <w:p w14:paraId="75AC8128" w14:textId="77777777" w:rsidR="00E1198C" w:rsidRDefault="00000000">
      <w:pPr>
        <w:pStyle w:val="Tekstpodstawowy"/>
        <w:spacing w:before="118"/>
        <w:ind w:left="510"/>
        <w:jc w:val="both"/>
      </w:pPr>
      <w:r>
        <w:rPr>
          <w:color w:val="231F20"/>
        </w:rPr>
        <w:t>Status of the most advanced projects in the clinical development stage:</w:t>
      </w:r>
    </w:p>
    <w:p w14:paraId="75E3CD1F" w14:textId="77777777" w:rsidR="00E1198C" w:rsidRDefault="00000000">
      <w:pPr>
        <w:pStyle w:val="Akapitzlist"/>
        <w:numPr>
          <w:ilvl w:val="4"/>
          <w:numId w:val="43"/>
        </w:numPr>
        <w:tabs>
          <w:tab w:val="left" w:pos="1601"/>
          <w:tab w:val="left" w:pos="1646"/>
        </w:tabs>
        <w:spacing w:before="132" w:line="230" w:lineRule="auto"/>
        <w:ind w:right="480" w:hanging="361"/>
        <w:jc w:val="both"/>
        <w:rPr>
          <w:sz w:val="18"/>
        </w:rPr>
      </w:pPr>
      <w:r>
        <w:rPr>
          <w:sz w:val="18"/>
        </w:rPr>
        <w:t>Falkieri (</w:t>
      </w:r>
      <w:proofErr w:type="spellStart"/>
      <w:r>
        <w:rPr>
          <w:sz w:val="18"/>
        </w:rPr>
        <w:t>esketamine</w:t>
      </w:r>
      <w:proofErr w:type="spellEnd"/>
      <w:r>
        <w:rPr>
          <w:sz w:val="18"/>
        </w:rPr>
        <w:t>) in inhalation form. The project completed the second clinical phase in the treatment of treatment-resistant depression, both unipolar and bipolar. The project is currently being implemented by Celon Pharma S.A. and Tang Capital, through the jointly established company Novohale, which is preparing a Phase III clinical trial of this compound.</w:t>
      </w:r>
    </w:p>
    <w:p w14:paraId="3F410630" w14:textId="77777777" w:rsidR="00E1198C" w:rsidRDefault="00000000">
      <w:pPr>
        <w:pStyle w:val="Akapitzlist"/>
        <w:numPr>
          <w:ilvl w:val="4"/>
          <w:numId w:val="43"/>
        </w:numPr>
        <w:tabs>
          <w:tab w:val="left" w:pos="1601"/>
          <w:tab w:val="left" w:pos="1646"/>
        </w:tabs>
        <w:spacing w:before="139" w:line="228" w:lineRule="auto"/>
        <w:ind w:right="486" w:hanging="361"/>
        <w:jc w:val="both"/>
        <w:rPr>
          <w:sz w:val="18"/>
        </w:rPr>
      </w:pPr>
      <w:r>
        <w:rPr>
          <w:sz w:val="18"/>
        </w:rPr>
        <w:t>PDE10a inhibitor (CPL'36) in the treatment of neuropsychiatric disorders in acute schizophrenia and levodopa-induced dyskinesias in Parkinson's disease completed the Phase II clinical trial for both indications, confirming its clinical effect.</w:t>
      </w:r>
    </w:p>
    <w:p w14:paraId="3C9736E1" w14:textId="77777777" w:rsidR="00E1198C" w:rsidRDefault="00000000">
      <w:pPr>
        <w:pStyle w:val="Akapitzlist"/>
        <w:numPr>
          <w:ilvl w:val="4"/>
          <w:numId w:val="43"/>
        </w:numPr>
        <w:tabs>
          <w:tab w:val="left" w:pos="1602"/>
        </w:tabs>
        <w:spacing w:before="125"/>
        <w:ind w:left="1602" w:hanging="316"/>
        <w:rPr>
          <w:sz w:val="18"/>
        </w:rPr>
      </w:pPr>
      <w:proofErr w:type="spellStart"/>
      <w:r>
        <w:rPr>
          <w:sz w:val="18"/>
        </w:rPr>
        <w:t>FGFR</w:t>
      </w:r>
      <w:proofErr w:type="spellEnd"/>
      <w:r>
        <w:rPr>
          <w:sz w:val="18"/>
        </w:rPr>
        <w:t xml:space="preserve"> inhibitor (CPL'110) in solid tumors is currently in phase I of clinical development;</w:t>
      </w:r>
    </w:p>
    <w:p w14:paraId="10212E9B" w14:textId="77777777" w:rsidR="00E1198C" w:rsidRDefault="00000000">
      <w:pPr>
        <w:pStyle w:val="Akapitzlist"/>
        <w:numPr>
          <w:ilvl w:val="4"/>
          <w:numId w:val="43"/>
        </w:numPr>
        <w:tabs>
          <w:tab w:val="left" w:pos="1601"/>
          <w:tab w:val="left" w:pos="1646"/>
        </w:tabs>
        <w:spacing w:before="107" w:line="228" w:lineRule="auto"/>
        <w:ind w:right="488" w:hanging="361"/>
        <w:jc w:val="both"/>
        <w:rPr>
          <w:sz w:val="18"/>
        </w:rPr>
      </w:pPr>
      <w:r>
        <w:rPr>
          <w:sz w:val="18"/>
        </w:rPr>
        <w:t>GPR40 agonist (CPL'280) for the treatment of type II diabetes. The trial has been provisionally completed. The project continues in the indication of diabetic neuropathy and is currently in phase II of clinical development;</w:t>
      </w:r>
    </w:p>
    <w:p w14:paraId="6405B41E" w14:textId="2A68BF74" w:rsidR="00E1198C" w:rsidRDefault="00000000">
      <w:pPr>
        <w:pStyle w:val="Akapitzlist"/>
        <w:numPr>
          <w:ilvl w:val="4"/>
          <w:numId w:val="43"/>
        </w:numPr>
        <w:tabs>
          <w:tab w:val="left" w:pos="1601"/>
          <w:tab w:val="left" w:pos="1646"/>
        </w:tabs>
        <w:spacing w:before="136" w:line="230" w:lineRule="auto"/>
        <w:ind w:right="479" w:hanging="361"/>
        <w:jc w:val="both"/>
        <w:rPr>
          <w:sz w:val="18"/>
        </w:rPr>
      </w:pPr>
      <w:r>
        <w:rPr>
          <w:sz w:val="18"/>
        </w:rPr>
        <w:t>The first in its class, dual JAK/ROCK inhibitor (CPL'116) for the treatment of autoimmune diseases (</w:t>
      </w:r>
      <w:proofErr w:type="spellStart"/>
      <w:r>
        <w:rPr>
          <w:sz w:val="18"/>
        </w:rPr>
        <w:t>IPF</w:t>
      </w:r>
      <w:proofErr w:type="spellEnd"/>
      <w:r>
        <w:rPr>
          <w:sz w:val="18"/>
        </w:rPr>
        <w:t xml:space="preserve"> idiopathic pulmonary fibrosis), pulmonary arterial hypertension (PAH), rheumatoid arthritis (RA) and psoriasis completed the phase II of clinical development.</w:t>
      </w:r>
    </w:p>
    <w:p w14:paraId="49DBCB80" w14:textId="77777777" w:rsidR="00E1198C" w:rsidRDefault="00000000">
      <w:pPr>
        <w:pStyle w:val="Tekstpodstawowy"/>
        <w:spacing w:before="122" w:line="276" w:lineRule="auto"/>
        <w:ind w:left="510" w:right="475"/>
        <w:jc w:val="both"/>
      </w:pPr>
      <w:r>
        <w:t>All projects currently implemented by the Company have received funding from EU public funds within the framework of programs financed by the European Union, mainly addressed to enterprises that intend to implement innovative projects related to R&amp;D and the latest technologies. The Company’s innovative projects are also successfully financed by the National Center for Research and Development (“</w:t>
      </w:r>
      <w:proofErr w:type="spellStart"/>
      <w:r>
        <w:t>NCBR</w:t>
      </w:r>
      <w:proofErr w:type="spellEnd"/>
      <w:r>
        <w:t>”), a government institution responsible for financing research and development activities in Poland, and by the Medical Research Agency – a state agency responsible for the development of research in the field of medical sciences and health sciences.</w:t>
      </w:r>
    </w:p>
    <w:p w14:paraId="101AB6DC" w14:textId="77777777" w:rsidR="00E1198C" w:rsidRDefault="00000000">
      <w:pPr>
        <w:pStyle w:val="Tekstpodstawowy"/>
        <w:spacing w:before="120" w:line="276" w:lineRule="auto"/>
        <w:ind w:left="510" w:right="476"/>
        <w:jc w:val="both"/>
      </w:pPr>
      <w:r>
        <w:t>Public funding covers on average approx. 30-60% of the total costs of the Company’s project, including research on the discovery of the drug and phase I and II of the clinical program. Well-established experience in obtaining public funding allows the Company to increase its scale of work on innovative drugs.</w:t>
      </w:r>
    </w:p>
    <w:p w14:paraId="686C4B3C" w14:textId="77777777" w:rsidR="00E1198C" w:rsidRDefault="00E1198C">
      <w:pPr>
        <w:pStyle w:val="Tekstpodstawowy"/>
        <w:spacing w:before="176"/>
      </w:pPr>
    </w:p>
    <w:p w14:paraId="1D8F2BC5" w14:textId="77777777" w:rsidR="00E1198C" w:rsidRDefault="00000000">
      <w:pPr>
        <w:pStyle w:val="Akapitzlist"/>
        <w:numPr>
          <w:ilvl w:val="1"/>
          <w:numId w:val="43"/>
        </w:numPr>
        <w:tabs>
          <w:tab w:val="left" w:pos="1088"/>
        </w:tabs>
        <w:ind w:hanging="578"/>
        <w:rPr>
          <w:sz w:val="18"/>
        </w:rPr>
      </w:pPr>
      <w:r>
        <w:rPr>
          <w:color w:val="F07D00"/>
          <w:sz w:val="18"/>
        </w:rPr>
        <w:t>Events and agreements significant for the Company’s activities in 2024</w:t>
      </w:r>
      <w:r>
        <w:rPr>
          <w:color w:val="F07D00"/>
          <w:sz w:val="18"/>
        </w:rPr>
        <w:tab/>
      </w:r>
    </w:p>
    <w:p w14:paraId="188ED86B" w14:textId="77777777" w:rsidR="00E1198C" w:rsidRDefault="00E1198C">
      <w:pPr>
        <w:pStyle w:val="Tekstpodstawowy"/>
        <w:spacing w:before="104"/>
        <w:rPr>
          <w:sz w:val="19"/>
        </w:rPr>
      </w:pPr>
    </w:p>
    <w:p w14:paraId="3B114F06" w14:textId="77777777" w:rsidR="00E1198C" w:rsidRDefault="00000000">
      <w:pPr>
        <w:pStyle w:val="Nagwek5"/>
        <w:jc w:val="both"/>
      </w:pPr>
      <w:r>
        <w:rPr>
          <w:color w:val="F07D00"/>
        </w:rPr>
        <w:t>Information on ZARIXA being introduced to pharmaceutical market regulators</w:t>
      </w:r>
    </w:p>
    <w:p w14:paraId="22115DF7" w14:textId="77777777" w:rsidR="00E1198C" w:rsidRDefault="00000000">
      <w:pPr>
        <w:pStyle w:val="Tekstpodstawowy"/>
        <w:spacing w:before="158" w:line="276" w:lineRule="auto"/>
        <w:ind w:left="510" w:right="478"/>
        <w:jc w:val="both"/>
      </w:pPr>
      <w:r>
        <w:t>On April 18, 2024, the Company notified  the President of the Office for Registration of Medicinal Products and to the Chief Pharmaceutical Inspector about the marketing of the medicinal product ZARIXA (</w:t>
      </w:r>
      <w:proofErr w:type="spellStart"/>
      <w:r>
        <w:t>Rivaroxabanum</w:t>
      </w:r>
      <w:proofErr w:type="spellEnd"/>
      <w:r>
        <w:t>) in the form of hard capsules, in doses of: 2.5 mg, 10 mg, 15 mg, 20 mg. Such notifications constitute a standard procedure element foreseen and required by pharmaceutical law. The current report regarding this event (No. 3/2024) noted that this means the Company is conducting activities aimed at ensuring the availability of the aforementioned medicinal product in wholesalers and pharmacies throughout Poland.</w:t>
      </w:r>
    </w:p>
    <w:p w14:paraId="0F4E9CD5" w14:textId="77777777" w:rsidR="00E1198C" w:rsidRDefault="00000000">
      <w:pPr>
        <w:pStyle w:val="Nagwek5"/>
        <w:spacing w:before="203" w:line="261" w:lineRule="auto"/>
        <w:ind w:right="478"/>
        <w:jc w:val="both"/>
      </w:pPr>
      <w:r>
        <w:rPr>
          <w:color w:val="F07D00"/>
        </w:rPr>
        <w:t>Conclusion of agreements regarding cooperation with Tang Capital to establish Novohale Therapeutics, LLC and further development of Falkieri through implementation of a global Phase III clinical trial in the treatment of bipolar depression and signing of an agreement to subscribe and pay for the new E-series shares by Tang Capital Partners, LP.</w:t>
      </w:r>
    </w:p>
    <w:p w14:paraId="55E35186" w14:textId="77777777" w:rsidR="00E1198C" w:rsidRDefault="00000000">
      <w:pPr>
        <w:pStyle w:val="Tekstpodstawowy"/>
        <w:spacing w:before="138" w:line="276" w:lineRule="auto"/>
        <w:ind w:left="510" w:right="476"/>
        <w:jc w:val="both"/>
      </w:pPr>
      <w:r>
        <w:t xml:space="preserve">On April 4, 2024, the Company and Tang Capital Management, LLC signed a non-binding term sheet document ("Term Sheet") defining the principles and conditions of agreements regarding cooperation between the Company and Tang Capital Management, LLC and its subsidiaries ("Tang Capital"), which provides for Tang Capital's investment in Celon Pharma, establishment of the company Novohale Therapeutics, LLC, and conducting the first pivotal Phase III clinical trial of </w:t>
      </w:r>
      <w:proofErr w:type="spellStart"/>
      <w:r>
        <w:t>esketamine</w:t>
      </w:r>
      <w:proofErr w:type="spellEnd"/>
      <w:r>
        <w:t xml:space="preserve"> in the form of a Dry Powder Inhaler ("Falkieri") in bipolar depression ("Clinical Trial").</w:t>
      </w:r>
    </w:p>
    <w:p w14:paraId="0CBB59B9" w14:textId="77777777" w:rsidR="00E1198C" w:rsidRDefault="00E1198C">
      <w:pPr>
        <w:spacing w:line="276" w:lineRule="auto"/>
        <w:jc w:val="both"/>
        <w:sectPr w:rsidR="00E1198C">
          <w:pgSz w:w="11900" w:h="16840"/>
          <w:pgMar w:top="820" w:right="320" w:bottom="920" w:left="300" w:header="0" w:footer="726" w:gutter="0"/>
          <w:cols w:space="708"/>
        </w:sectPr>
      </w:pPr>
    </w:p>
    <w:p w14:paraId="0A6DD218" w14:textId="77777777" w:rsidR="00E1198C" w:rsidRDefault="00000000">
      <w:pPr>
        <w:pStyle w:val="Tekstpodstawowy"/>
        <w:spacing w:before="61"/>
        <w:ind w:left="510"/>
        <w:jc w:val="both"/>
      </w:pPr>
      <w:r>
        <w:lastRenderedPageBreak/>
        <w:t>On May 22, 2024, the Company and Tang Capital signed cooperation agreements providing for the following:</w:t>
      </w:r>
    </w:p>
    <w:p w14:paraId="3221ABED" w14:textId="77777777" w:rsidR="00E1198C" w:rsidRDefault="00000000">
      <w:pPr>
        <w:pStyle w:val="Akapitzlist"/>
        <w:numPr>
          <w:ilvl w:val="0"/>
          <w:numId w:val="41"/>
        </w:numPr>
        <w:tabs>
          <w:tab w:val="left" w:pos="694"/>
        </w:tabs>
        <w:spacing w:before="152" w:line="276" w:lineRule="auto"/>
        <w:ind w:right="480" w:firstLine="0"/>
        <w:jc w:val="both"/>
        <w:rPr>
          <w:sz w:val="18"/>
        </w:rPr>
      </w:pPr>
      <w:r>
        <w:rPr>
          <w:sz w:val="18"/>
        </w:rPr>
        <w:t>direct investment by Tang Capital in Celon Pharma, consisting of subscribing to 2,700,000 ordinary bearer shares of a new issuance in the form of private subscription with exclusion of pre-emptive rights of the Company's existing shareholders (i.e., pursuant to Article 431 § 1 of the Commercial Companies Code) in exchange for a cash contribution in the total amount of PLN 40,500,000 (i.e., for an issue price of PLN 15 per share);</w:t>
      </w:r>
    </w:p>
    <w:p w14:paraId="50CD6855" w14:textId="77777777" w:rsidR="00E1198C" w:rsidRDefault="00000000">
      <w:pPr>
        <w:pStyle w:val="Akapitzlist"/>
        <w:numPr>
          <w:ilvl w:val="0"/>
          <w:numId w:val="41"/>
        </w:numPr>
        <w:tabs>
          <w:tab w:val="left" w:pos="685"/>
        </w:tabs>
        <w:spacing w:before="120" w:line="276" w:lineRule="auto"/>
        <w:ind w:right="475" w:firstLine="0"/>
        <w:jc w:val="both"/>
        <w:rPr>
          <w:sz w:val="18"/>
        </w:rPr>
      </w:pPr>
      <w:r>
        <w:rPr>
          <w:sz w:val="18"/>
        </w:rPr>
        <w:t>establishment of Novohale Therapeutics, LLC ("Novohale"), a limited liability company with its registered seat in the state of Delaware, USA, jointly owned by Celon Pharma and Tang Capital. Mr. Kevin Tang will be the CEO of Novohale, which will be supervised by a board that will include members from both Celon Pharma and Tang Capital. Novohale's initial share capital will be USD 30,000,000, of which USD 20,000,000 will be a contribution made by Celon Pharma, and USD 10,000,000 by Tang Capital. The above capital will be contributed by both partners over a period of 2 years. In addition, Celon Pharma committed to contribute to Novohale its intellectual property rights to Falkieri with a territorial scope covering the entire world, excluding Poland, which will allow Novohale to further develop Falkieri. Celon Pharma will be entitled to an approx. 80% share in profits, losses, and net assets (economic interest) in Novohale, while maintaining approximately 20% voting interest in Novohale. This will allow Novohale to independently develop Falkieri and conduct the clinical trial, while the majority economic interest in Novohale will be maintained by Celon Pharma. In the event that Novohale conducts an initial public offering, Celon Pharma's voting rights will be equalized to the level of economic interests held by the Company.</w:t>
      </w:r>
    </w:p>
    <w:p w14:paraId="7328586C" w14:textId="77777777" w:rsidR="00E1198C" w:rsidRDefault="00000000">
      <w:pPr>
        <w:pStyle w:val="Akapitzlist"/>
        <w:numPr>
          <w:ilvl w:val="0"/>
          <w:numId w:val="41"/>
        </w:numPr>
        <w:tabs>
          <w:tab w:val="left" w:pos="684"/>
        </w:tabs>
        <w:spacing w:before="123" w:line="276" w:lineRule="auto"/>
        <w:ind w:right="479" w:firstLine="0"/>
        <w:jc w:val="both"/>
        <w:rPr>
          <w:sz w:val="18"/>
        </w:rPr>
      </w:pPr>
      <w:r>
        <w:rPr>
          <w:sz w:val="18"/>
        </w:rPr>
        <w:t>Celon Pharma will have the option to purchase all of Tang Capital's shares in Novohale at any time between January 1, 2025, and the 60th day after the date of delivery of the Clinical Trial readings to Celon Pharma, for a total price of: (i) two and a half times Tang Capital's current investment in Novohale and (ii) a payment of 5% of future worldwide sales of Falkieri, excluding Poland (Royalty Payment) or 5% of any proceeds from any use of Falkieri. However, if Celon Pharma does not exercise this option, Tang Capital will have the option to invest an additional amount up to USD 30,000,000 in Novohale; and</w:t>
      </w:r>
    </w:p>
    <w:p w14:paraId="6DD51560" w14:textId="77777777" w:rsidR="00E1198C" w:rsidRDefault="00000000">
      <w:pPr>
        <w:pStyle w:val="Akapitzlist"/>
        <w:numPr>
          <w:ilvl w:val="0"/>
          <w:numId w:val="41"/>
        </w:numPr>
        <w:tabs>
          <w:tab w:val="left" w:pos="718"/>
        </w:tabs>
        <w:spacing w:before="121" w:line="271" w:lineRule="auto"/>
        <w:ind w:right="479" w:firstLine="0"/>
        <w:jc w:val="both"/>
        <w:rPr>
          <w:sz w:val="18"/>
        </w:rPr>
      </w:pPr>
      <w:r>
        <w:rPr>
          <w:sz w:val="18"/>
        </w:rPr>
        <w:t>Tang Capital will provide its management experience and clinical personnel to conduct the Clinical Trial, and Celon Pharma will supply Falkieri to Novohale.</w:t>
      </w:r>
    </w:p>
    <w:p w14:paraId="22A204AE" w14:textId="77777777" w:rsidR="00E1198C" w:rsidRDefault="00000000">
      <w:pPr>
        <w:pStyle w:val="Tekstpodstawowy"/>
        <w:spacing w:before="134" w:line="271" w:lineRule="auto"/>
        <w:ind w:left="510" w:right="475"/>
        <w:jc w:val="both"/>
      </w:pPr>
      <w:r>
        <w:t>Under the collaboration agreements described above, the Company secured financing for the next stage of development for Falkieri, but importantly, it simultaneously acquired a strategic partner with many years of experience in the clinical development of innovative drugs, providing management and expert resources, thereby addressing a key need of the Company.</w:t>
      </w:r>
    </w:p>
    <w:p w14:paraId="3C9A43FA" w14:textId="04492BD1" w:rsidR="00E1198C" w:rsidRDefault="00000000">
      <w:pPr>
        <w:pStyle w:val="Tekstpodstawowy"/>
        <w:spacing w:before="121" w:line="276" w:lineRule="auto"/>
        <w:ind w:left="510" w:right="475"/>
        <w:jc w:val="both"/>
      </w:pPr>
      <w:r>
        <w:t xml:space="preserve">On June 28, 2024, the Company announced the signing of an agreement with the Investor for the subscription of E-series Shares and that the E-series shares had been paid for. In accordance with the contents of the agreement, the Company has made an </w:t>
      </w:r>
      <w:r w:rsidR="00650FD4">
        <w:t>offering</w:t>
      </w:r>
      <w:r>
        <w:t xml:space="preserve"> to the Investor to acquire 2,700,000 E-Series Shares at an issue price amounting to PLN 15 per one E-Series Share, thus for a total amount of PLN 40,500,000 and the Investor accepted the Offering, consented to the wording of the Articles of Association of the Company, and acquired 2,700,000 of-E Series Shares (“Acquired Shares”) in accordance with Article 431 § 2 point 1 of the Commercial Companies Code. The Investor covered the </w:t>
      </w:r>
      <w:r w:rsidR="00650FD4">
        <w:t>Acquired</w:t>
      </w:r>
      <w:r>
        <w:t xml:space="preserve"> Shares using a monetary contribution by paying a total amount of PLN 40,500,000 to the Company's bank account.</w:t>
      </w:r>
    </w:p>
    <w:p w14:paraId="052EB394" w14:textId="77777777" w:rsidR="00E1198C" w:rsidRDefault="00000000">
      <w:pPr>
        <w:pStyle w:val="Tekstpodstawowy"/>
        <w:spacing w:before="132" w:line="276" w:lineRule="auto"/>
        <w:ind w:left="510" w:right="476"/>
        <w:jc w:val="both"/>
      </w:pPr>
      <w:r>
        <w:t xml:space="preserve">Tang Capital Management, LLC is an American investment firm focused on the life-science industry, founded in 2002. Mr. Kevin Tang, president and founder of Tang Capital, also founded </w:t>
      </w:r>
      <w:proofErr w:type="spellStart"/>
      <w:r>
        <w:t>Odonate</w:t>
      </w:r>
      <w:proofErr w:type="spellEnd"/>
      <w:r>
        <w:t xml:space="preserve"> Therapeutics, Inc. and has served as its president since 2015. Since 2012, he co-founded La Jolla Pharmaceutical Company and from 2014 until the acquisition of that company by </w:t>
      </w:r>
      <w:proofErr w:type="spellStart"/>
      <w:r>
        <w:t>Innoviva</w:t>
      </w:r>
      <w:proofErr w:type="spellEnd"/>
      <w:r>
        <w:t xml:space="preserve">, Inc. in 2022, he served as its president. Since 2013, he also co-founded Heron Therapeutics, Inc. and served as president of the company until 2020. Mr. Tang served as a director of </w:t>
      </w:r>
      <w:proofErr w:type="spellStart"/>
      <w:r>
        <w:t>Penwest</w:t>
      </w:r>
      <w:proofErr w:type="spellEnd"/>
      <w:r>
        <w:t xml:space="preserve"> Pharmaceuticals Co. starting in 2009 until the acquisition of that company in 2010 by Endo Pharmaceuticals, Inc. In 2006, he co-founded Ardea Biosciences, Inc. and served as its director until its acquisition by AstraZeneca PLC in 2012. From 2001 to 2008, Mr. Tang was a director of </w:t>
      </w:r>
      <w:proofErr w:type="spellStart"/>
      <w:r>
        <w:t>Trimeris</w:t>
      </w:r>
      <w:proofErr w:type="spellEnd"/>
      <w:r>
        <w:t>, Inc. Additionally, from 1993 to 2001, he held various positions at Deutsche Bank Alex Brown, Inc., a firm specializing in investment banking, and most recently served as managing director and head of Life Science industry analyses. Mr. Tang graduated from Duke University.</w:t>
      </w:r>
    </w:p>
    <w:p w14:paraId="6BABDB80" w14:textId="4AF97DE5" w:rsidR="00E1198C" w:rsidRDefault="00000000">
      <w:pPr>
        <w:pStyle w:val="Nagwek5"/>
        <w:spacing w:before="206"/>
        <w:jc w:val="both"/>
      </w:pPr>
      <w:r>
        <w:rPr>
          <w:color w:val="F07D00"/>
        </w:rPr>
        <w:t>The Company's medicinal product, Zarixa (</w:t>
      </w:r>
      <w:proofErr w:type="spellStart"/>
      <w:r>
        <w:rPr>
          <w:color w:val="F07D00"/>
        </w:rPr>
        <w:t>Rivaroxabanum</w:t>
      </w:r>
      <w:proofErr w:type="spellEnd"/>
      <w:r>
        <w:rPr>
          <w:color w:val="F07D00"/>
        </w:rPr>
        <w:t>) with a positive reimbursement decision of the Minister of Health</w:t>
      </w:r>
    </w:p>
    <w:p w14:paraId="3B10BA2E" w14:textId="35A9CD3D" w:rsidR="00E1198C" w:rsidRDefault="00000000" w:rsidP="00650FD4">
      <w:pPr>
        <w:pStyle w:val="Tekstpodstawowy"/>
        <w:spacing w:before="147"/>
        <w:ind w:left="510" w:right="486"/>
        <w:jc w:val="both"/>
      </w:pPr>
      <w:r>
        <w:t>On June 14, 2024, the Company received a positive reimbursement decision of the Minister of Health, dated June 14, 2024 regarding  Zarixa (</w:t>
      </w:r>
      <w:proofErr w:type="spellStart"/>
      <w:r>
        <w:t>Rivaroxabanum</w:t>
      </w:r>
      <w:proofErr w:type="spellEnd"/>
      <w:r>
        <w:t>) 10 mg, 15 mg, and 20 mg hard capsules</w:t>
      </w:r>
      <w:r w:rsidR="008E7DA7">
        <w:t xml:space="preserve"> </w:t>
      </w:r>
      <w:r>
        <w:t>i.e. in the entire range of doses specified in the Company's reimbursement application.</w:t>
      </w:r>
    </w:p>
    <w:p w14:paraId="0BC35A25" w14:textId="77777777" w:rsidR="00E1198C" w:rsidRDefault="00000000" w:rsidP="00650FD4">
      <w:pPr>
        <w:pStyle w:val="Tekstpodstawowy"/>
        <w:spacing w:before="111"/>
        <w:ind w:left="510" w:right="479"/>
        <w:jc w:val="both"/>
      </w:pPr>
      <w:r>
        <w:t xml:space="preserve">Depending on the drug dose, reimbursement will cover indications determined by the clinical condition: treatment of deep vein thrombosis in people over the age of 18 years; prevention of recurrent deep vein thrombosis or pulmonary embolisms – following acute deep vein thrombosis in people over the age of 18; treatment of pulmonary embolisms and prophylaxis of recurrent deep vein thrombosis and pulmonary embolisms in adults (doses: 15 mg and 20 mg), as well as venous thromboembolism complications in adult patients after elective total hip </w:t>
      </w:r>
      <w:proofErr w:type="spellStart"/>
      <w:r>
        <w:t>alloplasty</w:t>
      </w:r>
      <w:proofErr w:type="spellEnd"/>
      <w:r>
        <w:t xml:space="preserve"> (up to 30 days after </w:t>
      </w:r>
      <w:proofErr w:type="spellStart"/>
      <w:r>
        <w:t>alloplasty</w:t>
      </w:r>
      <w:proofErr w:type="spellEnd"/>
      <w:r>
        <w:t xml:space="preserve">) or knee </w:t>
      </w:r>
      <w:proofErr w:type="spellStart"/>
      <w:r>
        <w:t>alloplasty</w:t>
      </w:r>
      <w:proofErr w:type="spellEnd"/>
      <w:r>
        <w:t xml:space="preserve"> (up to 14 days after </w:t>
      </w:r>
      <w:proofErr w:type="spellStart"/>
      <w:r>
        <w:t>alloplasty</w:t>
      </w:r>
      <w:proofErr w:type="spellEnd"/>
      <w:r>
        <w:t>) – primary prevention (10 mg).</w:t>
      </w:r>
    </w:p>
    <w:p w14:paraId="6065F257" w14:textId="77777777" w:rsidR="00E1198C" w:rsidRDefault="00000000" w:rsidP="00650FD4">
      <w:pPr>
        <w:pStyle w:val="Tekstpodstawowy"/>
        <w:spacing w:before="121"/>
        <w:ind w:left="510"/>
      </w:pPr>
      <w:r>
        <w:t>The decision is effective as of July 1, 2024 and will apply for a period of 3 years.</w:t>
      </w:r>
    </w:p>
    <w:p w14:paraId="420ED696" w14:textId="77777777" w:rsidR="00E1198C" w:rsidRDefault="00000000" w:rsidP="00650FD4">
      <w:pPr>
        <w:pStyle w:val="Tekstpodstawowy"/>
        <w:spacing w:before="152"/>
        <w:ind w:left="510"/>
      </w:pPr>
      <w:r>
        <w:t xml:space="preserve">Receiving a positive reimbursement decision is an important milestone in </w:t>
      </w:r>
      <w:proofErr w:type="spellStart"/>
      <w:r>
        <w:t>Zarixa's</w:t>
      </w:r>
      <w:proofErr w:type="spellEnd"/>
      <w:r>
        <w:t xml:space="preserve"> sales and promotional strategy and may be one of the elements shaping the drug's market position.</w:t>
      </w:r>
    </w:p>
    <w:p w14:paraId="4E4B104F" w14:textId="77777777" w:rsidR="00E1198C" w:rsidRDefault="00000000">
      <w:pPr>
        <w:pStyle w:val="Nagwek5"/>
        <w:spacing w:before="194"/>
      </w:pPr>
      <w:r>
        <w:rPr>
          <w:color w:val="F07D00"/>
        </w:rPr>
        <w:t xml:space="preserve">Results of phase II clinical trial for </w:t>
      </w:r>
      <w:proofErr w:type="spellStart"/>
      <w:r>
        <w:rPr>
          <w:color w:val="F07D00"/>
        </w:rPr>
        <w:t>CPL</w:t>
      </w:r>
      <w:proofErr w:type="spellEnd"/>
      <w:r>
        <w:rPr>
          <w:color w:val="F07D00"/>
        </w:rPr>
        <w:t>’ 116, a JAK/ROCK dual inhibitor in the treatment of Rheumatoid Arthritis (RA)</w:t>
      </w:r>
    </w:p>
    <w:p w14:paraId="30BD7C0B" w14:textId="77777777" w:rsidR="00E1198C" w:rsidRDefault="00E1198C">
      <w:pPr>
        <w:sectPr w:rsidR="00E1198C">
          <w:pgSz w:w="11900" w:h="16840"/>
          <w:pgMar w:top="820" w:right="320" w:bottom="920" w:left="300" w:header="0" w:footer="726" w:gutter="0"/>
          <w:cols w:space="708"/>
        </w:sectPr>
      </w:pPr>
    </w:p>
    <w:p w14:paraId="704C8790" w14:textId="5D573A52" w:rsidR="00E1198C" w:rsidRDefault="00000000">
      <w:pPr>
        <w:pStyle w:val="Tekstpodstawowy"/>
        <w:spacing w:before="61" w:line="276" w:lineRule="auto"/>
        <w:ind w:left="510" w:right="470"/>
        <w:jc w:val="both"/>
      </w:pPr>
      <w:r>
        <w:lastRenderedPageBreak/>
        <w:t xml:space="preserve">On June 17, 2024, the Company completed the analyses of Phase II trial findings of CPL'116, a JAK/ROCK dual inhibitor in the treatment of Rheumatoid Arthritis (RA). It was a </w:t>
      </w:r>
      <w:r w:rsidR="008E7DA7">
        <w:t>multicenter</w:t>
      </w:r>
      <w:r>
        <w:t xml:space="preserve">, </w:t>
      </w:r>
      <w:r w:rsidR="008E7DA7">
        <w:t>randomized</w:t>
      </w:r>
      <w:r>
        <w:t>, double-blind clinical trial conducted on over 100 patients with active RA and an unsatisfactory therapeutic response to methotrexate. The compound was administered over the course of 12 weeks in 3 doses of 60, 120 and 240 mg as an add-on to methotrexate therapy. The trial was placebo-controlled. The objective of the trial was to determine the dose-dependent response to treatment.</w:t>
      </w:r>
    </w:p>
    <w:p w14:paraId="42F989C9" w14:textId="77777777" w:rsidR="00E1198C" w:rsidRDefault="00000000">
      <w:pPr>
        <w:pStyle w:val="Tekstpodstawowy"/>
        <w:spacing w:before="116" w:line="276" w:lineRule="auto"/>
        <w:ind w:left="510" w:right="478"/>
        <w:jc w:val="both"/>
      </w:pPr>
      <w:r>
        <w:t>The primary endpoint was efficacy based on the change (compared to baseline) in week 12, measured as the Disease Activity Score-28 for RA with CRP. Other, secondary endpoints included efficacy assessment measured using other scales, remission and safety of use.</w:t>
      </w:r>
    </w:p>
    <w:p w14:paraId="7A27C233" w14:textId="77777777" w:rsidR="00E1198C" w:rsidRDefault="00000000">
      <w:pPr>
        <w:pStyle w:val="Tekstpodstawowy"/>
        <w:spacing w:before="131" w:line="273" w:lineRule="auto"/>
        <w:ind w:left="510" w:right="476"/>
        <w:jc w:val="both"/>
      </w:pPr>
      <w:r>
        <w:t>Findings: CPL’116 improved the patients’ condition measured with DAS28-CRP in a dose-dependent manner. Change in the DAS28-CRP score in week 12 compared to baseline was 1.702; 2.032; 2.361 and 1.668 for doses of 60, 120, 240 mg and placebo, respectively. Change in the DAS28-CRP score compared to placebo (LS MD) was 0.145 (p=0.67); 0.564 (p=0.10), and 0.887 (p=0.01) for doses of 60, 120 and 240 mg, respectively. Hence the primary endpoint results are statistically significant. The response to treatment in the 240 mg dose was fast – a statistically significant benefit with regard to the DAS28-CRP score was already observed in week 4 of treatment.</w:t>
      </w:r>
    </w:p>
    <w:p w14:paraId="62522B17" w14:textId="77777777" w:rsidR="00E1198C" w:rsidRDefault="00000000">
      <w:pPr>
        <w:pStyle w:val="Tekstpodstawowy"/>
        <w:spacing w:before="120" w:line="276" w:lineRule="auto"/>
        <w:ind w:left="510" w:right="479"/>
        <w:jc w:val="both"/>
      </w:pPr>
      <w:r>
        <w:t>The difference of the 240 mg dose compared to placebo was statistically significant also for most of the secondary endpoints. The high remission rate observed at this dose throughout the trial (defined as DAS28-CRP&lt;2.6) – which exceeded 45% – is particularly noteworthy.</w:t>
      </w:r>
    </w:p>
    <w:p w14:paraId="054C0845" w14:textId="77777777" w:rsidR="00E1198C" w:rsidRDefault="00000000" w:rsidP="00650FD4">
      <w:pPr>
        <w:pStyle w:val="Tekstpodstawowy"/>
        <w:spacing w:before="131"/>
        <w:ind w:left="510" w:right="365"/>
        <w:jc w:val="both"/>
      </w:pPr>
      <w:r>
        <w:t>The 120 mg dose was partially efficacious. Statistically significant differences compared to placebo were observed is some measurements and scales.</w:t>
      </w:r>
    </w:p>
    <w:p w14:paraId="50E5FCA8" w14:textId="77777777" w:rsidR="00E1198C" w:rsidRDefault="00000000">
      <w:pPr>
        <w:pStyle w:val="Tekstpodstawowy"/>
        <w:spacing w:before="152" w:line="273" w:lineRule="auto"/>
        <w:ind w:left="510" w:right="478"/>
        <w:jc w:val="both"/>
      </w:pPr>
      <w:r>
        <w:t>The overall tolerability of the compound was good and no unexpected adverse effects previously unknown for these drug classes have been observed. The positive outcomes of this trial validate clinical development of CPL’116 as the world's first dual JAK/ROCK inhibitor JAK/ROCK in a broad spectrum of autoimmune diseases, in particular conditions with an inflammatory and fibrotic component, such as idiopathic pulmonary fibrosis (</w:t>
      </w:r>
      <w:proofErr w:type="spellStart"/>
      <w:r>
        <w:t>IPF</w:t>
      </w:r>
      <w:proofErr w:type="spellEnd"/>
      <w:r>
        <w:t>) or rheumatoid arthritis-associated interstitial lung disease (RA-ILD).</w:t>
      </w:r>
    </w:p>
    <w:p w14:paraId="221A9EB6" w14:textId="6C343E4B" w:rsidR="00E1198C" w:rsidRDefault="00000000">
      <w:pPr>
        <w:pStyle w:val="Nagwek5"/>
        <w:spacing w:before="218"/>
        <w:jc w:val="both"/>
      </w:pPr>
      <w:r>
        <w:rPr>
          <w:color w:val="F07D00"/>
        </w:rPr>
        <w:t>Allocation of A series subscription warrants to eligible persons under the Incentive Program for the Company's Officers</w:t>
      </w:r>
    </w:p>
    <w:p w14:paraId="39F6DBB0" w14:textId="2B46A63A" w:rsidR="00E1198C" w:rsidRDefault="00000000" w:rsidP="000934DB">
      <w:pPr>
        <w:pStyle w:val="Tekstpodstawowy"/>
        <w:spacing w:before="146" w:line="276" w:lineRule="auto"/>
        <w:ind w:left="510" w:right="475"/>
        <w:jc w:val="both"/>
      </w:pPr>
      <w:r>
        <w:t>At the end of June, the Management Board of the Company adopted a resolution on the allocation of a total of 100,000 A-series subscription warrants (“Warrants”) under the Incentive Program for the Company’s Officers for the year 2024. Each Warrant entitled its holder to subscribe for 1 C-series share of the Company at the issue price of PLN 0.10 per share. The Warrants were issued on the basis of Resolution No. 7/2021 of the Extraordinary General Meeting of the Company of February 16, 2021 on the issue, for the purpose of implementing Incentive Programs for Members of the Management Board and other persons of key importance to the Company, of A-series subscription warrants with exclusion of share subscription rights of existing shareholders, entitling them to subscribe for C-series shares and a conditional increase of the share capital through the issue of C-series shares with exclusion of share subscription rights of existing shareholders and an amendment to the Company's Articles of Association related thereto. The allocation of Warrants was made on the basis of Resolution No. 6 adopted by the Extraordinary General Meeting of the Company of February 16, 2021 on the introduction of Incentive Programs for Members of the Management Board and other persons of key importance to the Company and on the basis of the Regulations of the Incentive Program for the Members of the Management Board for the years 2021-2030 in Celon Pharma S.A. (see current report No. 44/2021), in connection with the approval of fulfilling the officers' objectives determined in accordance with the provisions of the aforementioned Regulations. Information on the exercise of the aforementioned warrants and the granting of C-series shares in exchange for the warrants is presented below in section 3.10 and in the financial statements in section 5.7 Employee benefit costs and section 15.3 Employee incentive programs.</w:t>
      </w:r>
    </w:p>
    <w:p w14:paraId="4E56D211" w14:textId="77777777" w:rsidR="00E1198C" w:rsidRDefault="00E1198C">
      <w:pPr>
        <w:pStyle w:val="Tekstpodstawowy"/>
        <w:spacing w:before="15"/>
      </w:pPr>
    </w:p>
    <w:p w14:paraId="73C5BBED" w14:textId="77777777" w:rsidR="00E1198C" w:rsidRDefault="00000000">
      <w:pPr>
        <w:pStyle w:val="Nagwek5"/>
        <w:jc w:val="both"/>
      </w:pPr>
      <w:r>
        <w:rPr>
          <w:color w:val="F07D00"/>
        </w:rPr>
        <w:t>Positive results of the Phase II clinical trial of CPL'36, a PDE10A inhibitor in the treatment of acute schizophrenia</w:t>
      </w:r>
    </w:p>
    <w:p w14:paraId="03C76691" w14:textId="77777777" w:rsidR="00E1198C" w:rsidRDefault="00000000">
      <w:pPr>
        <w:pStyle w:val="Tekstpodstawowy"/>
        <w:spacing w:before="158" w:line="271" w:lineRule="auto"/>
        <w:ind w:left="510" w:right="482"/>
        <w:jc w:val="both"/>
      </w:pPr>
      <w:r>
        <w:t>In current report no. 17/2024 dated July 5, 2024, the Management Board of Celon Pharma S.A. announced positive results of the Phase II clinical trial of CPL'36 in the treatment of acute schizophrenia.</w:t>
      </w:r>
    </w:p>
    <w:p w14:paraId="13B678B5" w14:textId="77777777" w:rsidR="00E1198C" w:rsidRDefault="00000000">
      <w:pPr>
        <w:pStyle w:val="Tekstpodstawowy"/>
        <w:spacing w:before="133" w:line="273" w:lineRule="auto"/>
        <w:ind w:left="510" w:right="483"/>
        <w:jc w:val="both"/>
      </w:pPr>
      <w:r>
        <w:t xml:space="preserve">This was an international, multicenter, randomized, placebo-controlled clinical trial in a group of 189 adult patients hospitalized for exacerbated schizophrenia. CPL'36 was administered for 4 weeks at two doses – 20mg and 40mg – once daily along placebo in a 1:1:1 ratio. Patients enrolled in the study had a baseline disease level on the </w:t>
      </w:r>
      <w:proofErr w:type="spellStart"/>
      <w:r>
        <w:t>PANSS</w:t>
      </w:r>
      <w:proofErr w:type="spellEnd"/>
      <w:r>
        <w:t xml:space="preserve"> total scale of approximately 105 units, indicating that their disease was moderately severe </w:t>
      </w:r>
      <w:proofErr w:type="spellStart"/>
      <w:r>
        <w:t>to</w:t>
      </w:r>
      <w:proofErr w:type="spellEnd"/>
      <w:r>
        <w:t xml:space="preserve"> severe.</w:t>
      </w:r>
    </w:p>
    <w:p w14:paraId="5A417BCA" w14:textId="77777777" w:rsidR="00E1198C" w:rsidRDefault="00000000">
      <w:pPr>
        <w:pStyle w:val="Tekstpodstawowy"/>
        <w:spacing w:before="124" w:line="276" w:lineRule="auto"/>
        <w:ind w:left="510" w:right="478"/>
        <w:jc w:val="both"/>
      </w:pPr>
      <w:r>
        <w:t xml:space="preserve">At week 4 of treatment, CPL'36 at a dose of 20 mg showed improvement compared to placebo on the </w:t>
      </w:r>
      <w:proofErr w:type="spellStart"/>
      <w:r>
        <w:t>PANSS</w:t>
      </w:r>
      <w:proofErr w:type="spellEnd"/>
      <w:r>
        <w:t xml:space="preserve"> total scale of 9.7 units (LS mean difference from placebo, p&lt;0.001, Cohen's d: 0.77) and at a dose of 40 mg showed improvement of 16.4 units (LS mean difference from placebo, p&lt;0.001, Cohen's d: 1.47).</w:t>
      </w:r>
    </w:p>
    <w:p w14:paraId="1D36CB87" w14:textId="77777777" w:rsidR="00E1198C" w:rsidRDefault="00000000">
      <w:pPr>
        <w:pStyle w:val="Tekstpodstawowy"/>
        <w:spacing w:before="119" w:line="276" w:lineRule="auto"/>
        <w:ind w:left="510" w:right="480"/>
        <w:jc w:val="both"/>
      </w:pPr>
      <w:r>
        <w:t xml:space="preserve">Improvement on the </w:t>
      </w:r>
      <w:proofErr w:type="spellStart"/>
      <w:r>
        <w:t>PANSS</w:t>
      </w:r>
      <w:proofErr w:type="spellEnd"/>
      <w:r>
        <w:t xml:space="preserve"> positive scale compared to placebo, which was the primary endpoint, was 3.7 units at the 20 mg dose (LS Mean difference from placebo, p&lt;0.001, Cohen's d: 0.73) and improvement at the 40 mg dose was 6.3 units (LS Mean difference from placebo, p&lt;0.001, Cohen's d: 1.38).</w:t>
      </w:r>
    </w:p>
    <w:p w14:paraId="5A2AB709" w14:textId="77777777" w:rsidR="00E1198C" w:rsidRDefault="00000000">
      <w:pPr>
        <w:pStyle w:val="Tekstpodstawowy"/>
        <w:spacing w:before="120" w:line="283" w:lineRule="auto"/>
        <w:ind w:left="510" w:right="479"/>
        <w:jc w:val="both"/>
      </w:pPr>
      <w:r>
        <w:t>The drug tolerability was high. There were only a few potentially drug-related serious adverse events  (1.5% in the placebo group, 1.8% in the 20 mg group and 3.1% in the 40mg group). Treatment discontinuations due to adverse effects probably related to the drug</w:t>
      </w:r>
    </w:p>
    <w:p w14:paraId="33BCA891" w14:textId="77777777" w:rsidR="00E1198C" w:rsidRDefault="00E1198C">
      <w:pPr>
        <w:spacing w:line="283" w:lineRule="auto"/>
        <w:jc w:val="both"/>
        <w:sectPr w:rsidR="00E1198C">
          <w:pgSz w:w="11900" w:h="16840"/>
          <w:pgMar w:top="820" w:right="320" w:bottom="920" w:left="300" w:header="0" w:footer="726" w:gutter="0"/>
          <w:cols w:space="708"/>
        </w:sectPr>
      </w:pPr>
    </w:p>
    <w:p w14:paraId="679B8369" w14:textId="77777777" w:rsidR="00E1198C" w:rsidRDefault="00000000">
      <w:pPr>
        <w:pStyle w:val="Tekstpodstawowy"/>
        <w:spacing w:before="61" w:line="283" w:lineRule="auto"/>
        <w:ind w:left="510" w:right="473"/>
        <w:jc w:val="both"/>
      </w:pPr>
      <w:r>
        <w:lastRenderedPageBreak/>
        <w:t>occurred in 3.1% of patients in the placebo group, 0% of patients in the 20 mg group and 7.7% of patients in the 40 mg group. A comparable number of patients discontinued treatment in the placebo and active treatment groups.</w:t>
      </w:r>
    </w:p>
    <w:p w14:paraId="540D50F3" w14:textId="77777777" w:rsidR="00E1198C" w:rsidRDefault="00000000">
      <w:pPr>
        <w:pStyle w:val="Tekstpodstawowy"/>
        <w:spacing w:before="112" w:line="271" w:lineRule="auto"/>
        <w:ind w:left="510" w:right="478"/>
        <w:jc w:val="both"/>
      </w:pPr>
      <w:r>
        <w:t>The study met all assumed criteria, significantly exceeding the Company's previous medical assumptions. It demonstrated strong and confirmed efficacy of CPL'36 in acute schizophrenia across all assessment scales, suggesting a positive impact on a broad range of disease pathophysiology. The strength of the clinical effect of the drug was large to very large.</w:t>
      </w:r>
    </w:p>
    <w:p w14:paraId="1DE75325" w14:textId="77777777" w:rsidR="00E1198C" w:rsidRDefault="00000000">
      <w:pPr>
        <w:pStyle w:val="Tekstpodstawowy"/>
        <w:spacing w:before="133" w:line="276" w:lineRule="auto"/>
        <w:ind w:left="510" w:right="478"/>
        <w:jc w:val="both"/>
      </w:pPr>
      <w:r>
        <w:t>This is the first clinical trial in the world to demonstrate that PDE10A inhibition using CPL'36 in patients with acute schizophrenia produces positive, statistically and clinically significant effects on primary and secondary endpoints. In the Company's opinion, its results will have breakthrough significance for the development of the schizophrenia pharmacotherapy market.</w:t>
      </w:r>
    </w:p>
    <w:p w14:paraId="4E6D7640" w14:textId="77777777" w:rsidR="00E1198C" w:rsidRDefault="00000000">
      <w:pPr>
        <w:pStyle w:val="Tekstpodstawowy"/>
        <w:spacing w:before="119" w:line="276" w:lineRule="auto"/>
        <w:ind w:left="510" w:right="480"/>
        <w:jc w:val="both"/>
      </w:pPr>
      <w:r>
        <w:t>CPL'36 is additionally being developed clinically for levodopa-induced dyskinesias in patients with Parkinson's disease. Information on the positive results of the Phase II clinical trial regarding the use of CPL'36 in patients with dyskinesias in Parkinson's disease was presented in section 2.5 "Significant events after the balance sheet date".</w:t>
      </w:r>
    </w:p>
    <w:p w14:paraId="585E5DD9" w14:textId="77777777" w:rsidR="00E1198C" w:rsidRDefault="00000000">
      <w:pPr>
        <w:pStyle w:val="Nagwek5"/>
        <w:spacing w:before="203" w:line="268" w:lineRule="auto"/>
        <w:ind w:right="472"/>
        <w:jc w:val="both"/>
      </w:pPr>
      <w:r>
        <w:rPr>
          <w:color w:val="F07D00"/>
        </w:rPr>
        <w:t>Registration of amendment to the Company's Articles of Association regarding the increase of share capital in connection with the issuance of E-series shares and the abolition of authorized capital</w:t>
      </w:r>
    </w:p>
    <w:p w14:paraId="37433D8D" w14:textId="5063D6F6" w:rsidR="00E1198C" w:rsidRDefault="00000000">
      <w:pPr>
        <w:pStyle w:val="Tekstpodstawowy"/>
        <w:spacing w:before="118" w:line="283" w:lineRule="auto"/>
        <w:ind w:left="510" w:right="484"/>
        <w:jc w:val="both"/>
      </w:pPr>
      <w:r>
        <w:t>On August 6, 2024 the District Court for the Capital City of Warsaw in Warsaw, 14th Commercial Division of the National Court Register registered the increase of the share capital of Celon Pharma S.A. the amount of PLN 270,000 and the amendment to the Company's Articles of Association.</w:t>
      </w:r>
    </w:p>
    <w:p w14:paraId="299D1D65" w14:textId="213A77AE" w:rsidR="00E1198C" w:rsidRDefault="00000000">
      <w:pPr>
        <w:pStyle w:val="Tekstpodstawowy"/>
        <w:spacing w:before="111" w:line="276" w:lineRule="auto"/>
        <w:ind w:left="510" w:right="482"/>
        <w:jc w:val="both"/>
      </w:pPr>
      <w:r>
        <w:t>The increase was implemented through the issue of 2,700,000 ordinary E-series bearer shares with a nominal value of PLN 0.10 each, with exclusion of share subscription rights within the meaning of Article 431 § 2 point 1 of the Commercial Companies Code carried out as part of an offering addressed to an individually specified entity – Tang Capital Partners, LP (see point 2.2 and 3.10).</w:t>
      </w:r>
    </w:p>
    <w:p w14:paraId="0B7D76FF" w14:textId="77777777" w:rsidR="00E1198C" w:rsidRDefault="00000000">
      <w:pPr>
        <w:pStyle w:val="Tekstpodstawowy"/>
        <w:spacing w:before="120" w:line="276" w:lineRule="auto"/>
        <w:ind w:left="510" w:right="481"/>
        <w:jc w:val="both"/>
      </w:pPr>
      <w:r>
        <w:t>The amendment to the Articles of Association of the Company, made pursuant to Resolution No. 19 of the Ordinary General Meeting of the Company of June 21, 2024, consisted in giving a new wording to § 8 subs. 1 on the amount of share capital, as well as repealing § 8b referring to authorized capital.</w:t>
      </w:r>
    </w:p>
    <w:p w14:paraId="674ADD2A" w14:textId="77777777" w:rsidR="00E1198C" w:rsidRDefault="00000000">
      <w:pPr>
        <w:pStyle w:val="Tekstpodstawowy"/>
        <w:spacing w:before="120"/>
        <w:ind w:left="510"/>
        <w:jc w:val="both"/>
      </w:pPr>
      <w:r>
        <w:t>The Company announced the above event in current report No. 18/2024 dated August 07, 2024.</w:t>
      </w:r>
    </w:p>
    <w:p w14:paraId="3E138DDE" w14:textId="77777777" w:rsidR="00E1198C" w:rsidRDefault="00000000">
      <w:pPr>
        <w:pStyle w:val="Tekstpodstawowy"/>
        <w:spacing w:before="152" w:line="271" w:lineRule="auto"/>
        <w:ind w:left="510" w:right="480"/>
        <w:jc w:val="both"/>
      </w:pPr>
      <w:r>
        <w:t>Information on the current level and structure of the Company's share capital as of the day of the publishing of this Report is presented in point 6.2 below.</w:t>
      </w:r>
    </w:p>
    <w:p w14:paraId="0F364FEC" w14:textId="47E15AE1" w:rsidR="00E1198C" w:rsidRDefault="00000000">
      <w:pPr>
        <w:pStyle w:val="Nagwek5"/>
        <w:spacing w:before="216"/>
        <w:jc w:val="both"/>
      </w:pPr>
      <w:r>
        <w:rPr>
          <w:color w:val="F07D00"/>
        </w:rPr>
        <w:t>Registration of the Company's E-series shares with the Central Securities Depository of Poland (</w:t>
      </w:r>
      <w:proofErr w:type="spellStart"/>
      <w:r>
        <w:rPr>
          <w:color w:val="F07D00"/>
        </w:rPr>
        <w:t>KDPW</w:t>
      </w:r>
      <w:proofErr w:type="spellEnd"/>
      <w:r>
        <w:rPr>
          <w:color w:val="F07D00"/>
        </w:rPr>
        <w:t>)</w:t>
      </w:r>
    </w:p>
    <w:p w14:paraId="31A4D525" w14:textId="67F94F84" w:rsidR="00E1198C" w:rsidRDefault="00000000">
      <w:pPr>
        <w:pStyle w:val="Tekstpodstawowy"/>
        <w:spacing w:before="158" w:line="276" w:lineRule="auto"/>
        <w:ind w:left="510" w:right="481"/>
        <w:jc w:val="both"/>
      </w:pPr>
      <w:r>
        <w:t>On August 21, 2024 the Central Securities Depository of Poland (“</w:t>
      </w:r>
      <w:proofErr w:type="spellStart"/>
      <w:r>
        <w:t>KDPW</w:t>
      </w:r>
      <w:proofErr w:type="spellEnd"/>
      <w:r>
        <w:t>”) has issued a statement on the conclusion of an agreement with the Company to register with the securities depository 2,700,000 ordinary E-series bearer shares with a nominal value of PLN 0.10 each. According to the statement, registration of the aforementioned shares, under the new code SIN - PLCLNPH00098, took place on August 26, 2024.</w:t>
      </w:r>
    </w:p>
    <w:p w14:paraId="1B91C010" w14:textId="77777777" w:rsidR="00E1198C" w:rsidRDefault="00000000">
      <w:pPr>
        <w:pStyle w:val="Tekstpodstawowy"/>
        <w:spacing w:before="120"/>
        <w:ind w:left="510"/>
        <w:jc w:val="both"/>
      </w:pPr>
      <w:r>
        <w:t>The Company announced the above event in current report No. 21/2024 dated August 22, 2024.</w:t>
      </w:r>
    </w:p>
    <w:p w14:paraId="4181F490" w14:textId="77777777" w:rsidR="00E1198C" w:rsidRDefault="00E1198C">
      <w:pPr>
        <w:pStyle w:val="Tekstpodstawowy"/>
        <w:spacing w:before="14"/>
      </w:pPr>
    </w:p>
    <w:p w14:paraId="31900E7B" w14:textId="358C6AF1" w:rsidR="00E1198C" w:rsidRDefault="00650FD4">
      <w:pPr>
        <w:pStyle w:val="Nagwek5"/>
        <w:spacing w:before="1"/>
        <w:jc w:val="both"/>
      </w:pPr>
      <w:r>
        <w:rPr>
          <w:color w:val="F07D00"/>
        </w:rPr>
        <w:t>Admission and introduction of ordinary C-series and E-series bearer shares of the Company to stock exchange trading</w:t>
      </w:r>
    </w:p>
    <w:p w14:paraId="4FF853DA" w14:textId="7519E916" w:rsidR="00E1198C" w:rsidRDefault="00000000" w:rsidP="00650FD4">
      <w:pPr>
        <w:pStyle w:val="Tekstpodstawowy"/>
        <w:spacing w:before="157"/>
        <w:ind w:left="510" w:right="507"/>
        <w:jc w:val="both"/>
      </w:pPr>
      <w:r>
        <w:t>On September 12, 2024 the Management Board of the Warsaw Stock Exchange (“GPW”) has adopted a resolution concerning the admission and introduction of the Company’s ordinary C-series and E-series bearer shares to stock exchange trading on the GPW Main Market List.</w:t>
      </w:r>
    </w:p>
    <w:p w14:paraId="04B5B46E" w14:textId="77777777" w:rsidR="00E1198C" w:rsidRDefault="00000000" w:rsidP="00650FD4">
      <w:pPr>
        <w:pStyle w:val="Tekstpodstawowy"/>
        <w:spacing w:before="152"/>
        <w:ind w:left="510" w:right="479"/>
        <w:jc w:val="both"/>
      </w:pPr>
      <w:r>
        <w:t>In its resolution, the Management Board of the GPW stated that pursuant to § 19 subs.1 and 2 of the WSE Rules, 100,000 ordinary C-series bearer shares of the Company, with the nominal value of PLN 0.10 each, designated with the “PLCLNPH00080” code by the Central Securities Depository of Poland and 2,700,000 ordinary E-series bearer shares of the Company, with the nominal value of PLN 0.10 each, designated with the „PLCLNPH00098” code by the Central Securities Depository of Poland, are admitted to stock exchange trading on the primary market.</w:t>
      </w:r>
    </w:p>
    <w:p w14:paraId="49D79875" w14:textId="77777777" w:rsidR="00E1198C" w:rsidRDefault="00000000" w:rsidP="00650FD4">
      <w:pPr>
        <w:pStyle w:val="Tekstpodstawowy"/>
        <w:spacing w:before="117"/>
        <w:ind w:left="510" w:right="481"/>
        <w:jc w:val="both"/>
      </w:pPr>
      <w:r>
        <w:t>The GPW Management Board decided to introduce the above-mentioned shares of the Company to trading on the primary market as of September 23, 2024, subject to the assimilation of these shares with the shares in the exchange trade, designated with the “PLCLNPH00015” code, by the Central Securities Depository of Poland on September 23, 2024.</w:t>
      </w:r>
    </w:p>
    <w:p w14:paraId="6F0098B1" w14:textId="088B2AA2" w:rsidR="00E1198C" w:rsidRDefault="00000000" w:rsidP="00650FD4">
      <w:pPr>
        <w:pStyle w:val="Tekstpodstawowy"/>
        <w:spacing w:before="119"/>
        <w:ind w:left="510" w:right="476"/>
        <w:jc w:val="both"/>
      </w:pPr>
      <w:r>
        <w:t>On September 13, 2024, the Central Securities Depository of Poland (“</w:t>
      </w:r>
      <w:proofErr w:type="spellStart"/>
      <w:r>
        <w:t>KDPW</w:t>
      </w:r>
      <w:proofErr w:type="spellEnd"/>
      <w:r>
        <w:t>”) issued a statement indicating that it has decided to assimilate 100,000 ordinary C-series bearer shares, registered under the ISIN PLCLNPH00080 code and 2,700,000 ordinary E-series bearer shares of the Company, designated with the ISIN PLCLNPH00098 code with the Company’s shares currently traded in the stock exchange, registered under the PLCLNPH00015 code. Therefore, the condition for the introduction of the aforementioned shares to trading on the primary market as of September 23, 2024, specified in the above-mentioned Resolution of the Management Board of the Warsaw Stock Exchange S.A.</w:t>
      </w:r>
    </w:p>
    <w:p w14:paraId="04EEB67D" w14:textId="5DEF3F2C" w:rsidR="00E1198C" w:rsidRDefault="00000000" w:rsidP="00650FD4">
      <w:pPr>
        <w:pStyle w:val="Tekstpodstawowy"/>
        <w:spacing w:before="116"/>
        <w:ind w:left="510"/>
        <w:jc w:val="both"/>
      </w:pPr>
      <w:r>
        <w:t>The Company announced the above event in current reports No. 22/2024 dated September 13/2024 and No. 23/2024 dated September 16, 2024.</w:t>
      </w:r>
    </w:p>
    <w:p w14:paraId="54DB9A5F" w14:textId="77777777" w:rsidR="00E1198C" w:rsidRDefault="00E1198C">
      <w:pPr>
        <w:pStyle w:val="Tekstpodstawowy"/>
        <w:spacing w:before="26"/>
      </w:pPr>
    </w:p>
    <w:p w14:paraId="07BE1ADD" w14:textId="3E576F46" w:rsidR="00E1198C" w:rsidRDefault="00000000">
      <w:pPr>
        <w:pStyle w:val="Nagwek5"/>
        <w:spacing w:line="256" w:lineRule="auto"/>
        <w:ind w:right="478"/>
        <w:jc w:val="both"/>
      </w:pPr>
      <w:r>
        <w:rPr>
          <w:color w:val="F07D00"/>
        </w:rPr>
        <w:t>The Minister of Health issued a positive reimbursement decision regarding medicinal product Zarixa (</w:t>
      </w:r>
      <w:proofErr w:type="spellStart"/>
      <w:r>
        <w:rPr>
          <w:color w:val="F07D00"/>
        </w:rPr>
        <w:t>Rivaroxabanum</w:t>
      </w:r>
      <w:proofErr w:type="spellEnd"/>
      <w:r>
        <w:rPr>
          <w:color w:val="F07D00"/>
        </w:rPr>
        <w:t>) for preventive care in patients with atrial fibrillation</w:t>
      </w:r>
    </w:p>
    <w:p w14:paraId="2319366D" w14:textId="77777777" w:rsidR="00E1198C" w:rsidRDefault="00E1198C">
      <w:pPr>
        <w:spacing w:line="256" w:lineRule="auto"/>
        <w:jc w:val="both"/>
        <w:sectPr w:rsidR="00E1198C">
          <w:pgSz w:w="11900" w:h="16840"/>
          <w:pgMar w:top="820" w:right="320" w:bottom="920" w:left="300" w:header="0" w:footer="726" w:gutter="0"/>
          <w:cols w:space="708"/>
        </w:sectPr>
      </w:pPr>
    </w:p>
    <w:p w14:paraId="1949B889" w14:textId="3B54A6AC" w:rsidR="00E1198C" w:rsidRDefault="00000000">
      <w:pPr>
        <w:pStyle w:val="Tekstpodstawowy"/>
        <w:spacing w:before="61" w:line="276" w:lineRule="auto"/>
        <w:ind w:left="510" w:right="475"/>
        <w:jc w:val="both"/>
      </w:pPr>
      <w:r>
        <w:lastRenderedPageBreak/>
        <w:t>On December 4, 2024, the Minister of Health issued a positive reimbursement decision regarding Zarixa (</w:t>
      </w:r>
      <w:proofErr w:type="spellStart"/>
      <w:r>
        <w:t>Rivaroxabanum</w:t>
      </w:r>
      <w:proofErr w:type="spellEnd"/>
      <w:r>
        <w:t>) 15 mg hard capsules (pack of 28) and 20 mg (pack of 28 and pack of 56 ), i.e. in the entire range specified in the Company's reimbursement application and regarding the setting of the net ex-factory price.</w:t>
      </w:r>
    </w:p>
    <w:p w14:paraId="3C391771" w14:textId="398AF0F2" w:rsidR="00E1198C" w:rsidRDefault="00000000">
      <w:pPr>
        <w:pStyle w:val="Tekstpodstawowy"/>
        <w:spacing w:before="120" w:line="276" w:lineRule="auto"/>
        <w:ind w:left="510" w:right="481"/>
        <w:jc w:val="both"/>
      </w:pPr>
      <w:r>
        <w:t>The reimbursement covered indications determined by the following clinical conditions: preventative care of strokes and peripheral embolism in adult patients with non-valvular atrial fibrillation, with one or several risk factors, such as previous stroke or transient ischemic attack, age of 75, hypertension, diabetes, congestive heart failure.</w:t>
      </w:r>
    </w:p>
    <w:p w14:paraId="75452250" w14:textId="77777777" w:rsidR="00E1198C" w:rsidRDefault="00000000">
      <w:pPr>
        <w:pStyle w:val="Tekstpodstawowy"/>
        <w:spacing w:before="120"/>
        <w:ind w:left="510"/>
        <w:jc w:val="both"/>
      </w:pPr>
      <w:r>
        <w:t>The decision is effective as of January 1, 2025 and will apply for a period of 2 years.</w:t>
      </w:r>
    </w:p>
    <w:p w14:paraId="78425636" w14:textId="77777777" w:rsidR="00E1198C" w:rsidRDefault="00000000">
      <w:pPr>
        <w:pStyle w:val="Tekstpodstawowy"/>
        <w:spacing w:before="151" w:line="276" w:lineRule="auto"/>
        <w:ind w:left="510" w:right="479"/>
        <w:jc w:val="both"/>
      </w:pPr>
      <w:r>
        <w:t>Obtaining another positive reimbursement decision constitutes an important part of the sales and promotional strategy for Zarixa and can be one of the elements shaping the drug’s position on the market, in particular due given that the current reimbursement decision regards indications which the Company assumes account for approx. 80% of all prescriptions.</w:t>
      </w:r>
    </w:p>
    <w:p w14:paraId="23F25F43" w14:textId="77777777" w:rsidR="00E1198C" w:rsidRDefault="00000000">
      <w:pPr>
        <w:pStyle w:val="Tekstpodstawowy"/>
        <w:spacing w:before="120"/>
        <w:ind w:left="510"/>
        <w:jc w:val="both"/>
      </w:pPr>
      <w:r>
        <w:t>The Company announced the above event in current report No. 24/2024 dated December 05, 2024.</w:t>
      </w:r>
    </w:p>
    <w:p w14:paraId="243D5ABE" w14:textId="77777777" w:rsidR="00E1198C" w:rsidRDefault="00E1198C">
      <w:pPr>
        <w:pStyle w:val="Tekstpodstawowy"/>
        <w:spacing w:before="55"/>
      </w:pPr>
    </w:p>
    <w:p w14:paraId="60CEF6D9" w14:textId="186A6D38" w:rsidR="00E1198C" w:rsidRDefault="00000000">
      <w:pPr>
        <w:pStyle w:val="Akapitzlist"/>
        <w:numPr>
          <w:ilvl w:val="1"/>
          <w:numId w:val="43"/>
        </w:numPr>
        <w:tabs>
          <w:tab w:val="left" w:pos="1088"/>
        </w:tabs>
        <w:spacing w:before="1"/>
        <w:ind w:hanging="578"/>
        <w:rPr>
          <w:sz w:val="18"/>
        </w:rPr>
      </w:pPr>
      <w:r>
        <w:rPr>
          <w:color w:val="F07D00"/>
          <w:sz w:val="18"/>
        </w:rPr>
        <w:t>Agreements concluded with shareholders with would be of nature significant for the Company’s activities</w:t>
      </w:r>
    </w:p>
    <w:p w14:paraId="7EE0DC23" w14:textId="77777777" w:rsidR="00E1198C" w:rsidRDefault="00E1198C">
      <w:pPr>
        <w:pStyle w:val="Tekstpodstawowy"/>
        <w:spacing w:before="134"/>
      </w:pPr>
    </w:p>
    <w:p w14:paraId="136A2DD8" w14:textId="77777777" w:rsidR="00E1198C" w:rsidRDefault="00000000">
      <w:pPr>
        <w:pStyle w:val="Tekstpodstawowy"/>
        <w:ind w:left="510"/>
        <w:jc w:val="both"/>
      </w:pPr>
      <w:r>
        <w:t>The Company is not aware of any agreements concluded with shareholders with would be of nature significant for the Company’s activities.</w:t>
      </w:r>
    </w:p>
    <w:p w14:paraId="6B6D6626" w14:textId="77777777" w:rsidR="00E1198C" w:rsidRDefault="00E1198C">
      <w:pPr>
        <w:pStyle w:val="Tekstpodstawowy"/>
        <w:spacing w:before="56"/>
      </w:pPr>
    </w:p>
    <w:p w14:paraId="5EF49FDC" w14:textId="77777777" w:rsidR="00E1198C" w:rsidRDefault="00000000">
      <w:pPr>
        <w:pStyle w:val="Akapitzlist"/>
        <w:numPr>
          <w:ilvl w:val="1"/>
          <w:numId w:val="43"/>
        </w:numPr>
        <w:tabs>
          <w:tab w:val="left" w:pos="1088"/>
        </w:tabs>
        <w:ind w:hanging="578"/>
        <w:rPr>
          <w:sz w:val="18"/>
        </w:rPr>
      </w:pPr>
      <w:r>
        <w:rPr>
          <w:color w:val="F07D00"/>
          <w:sz w:val="18"/>
        </w:rPr>
        <w:t>Significant insurance or cooperation agreements</w:t>
      </w:r>
    </w:p>
    <w:p w14:paraId="69A5B607" w14:textId="77777777" w:rsidR="00E1198C" w:rsidRDefault="00E1198C">
      <w:pPr>
        <w:pStyle w:val="Tekstpodstawowy"/>
        <w:spacing w:before="123"/>
      </w:pPr>
    </w:p>
    <w:p w14:paraId="15451518" w14:textId="45ECB251" w:rsidR="00E1198C" w:rsidRDefault="00000000">
      <w:pPr>
        <w:pStyle w:val="Tekstpodstawowy"/>
        <w:ind w:left="510"/>
        <w:jc w:val="both"/>
      </w:pPr>
      <w:r>
        <w:t>In 2024 fiscal year, the Company did not conclude any significant insurance or cooperation agreements.</w:t>
      </w:r>
    </w:p>
    <w:p w14:paraId="1646F870" w14:textId="77777777" w:rsidR="00E1198C" w:rsidRDefault="00E1198C">
      <w:pPr>
        <w:pStyle w:val="Tekstpodstawowy"/>
        <w:spacing w:before="56"/>
      </w:pPr>
    </w:p>
    <w:p w14:paraId="3BB59570" w14:textId="77777777" w:rsidR="00E1198C" w:rsidRDefault="00000000">
      <w:pPr>
        <w:pStyle w:val="Akapitzlist"/>
        <w:numPr>
          <w:ilvl w:val="1"/>
          <w:numId w:val="43"/>
        </w:numPr>
        <w:tabs>
          <w:tab w:val="left" w:pos="1088"/>
        </w:tabs>
        <w:ind w:hanging="578"/>
        <w:rPr>
          <w:sz w:val="18"/>
        </w:rPr>
      </w:pPr>
      <w:r>
        <w:rPr>
          <w:color w:val="F07D00"/>
          <w:sz w:val="18"/>
        </w:rPr>
        <w:t>Material post-balance sheet events</w:t>
      </w:r>
    </w:p>
    <w:p w14:paraId="4032BEBB" w14:textId="77777777" w:rsidR="00E1198C" w:rsidRDefault="00E1198C">
      <w:pPr>
        <w:pStyle w:val="Tekstpodstawowy"/>
        <w:spacing w:before="116"/>
      </w:pPr>
    </w:p>
    <w:p w14:paraId="2B2943DE" w14:textId="6B18876A" w:rsidR="00E1198C" w:rsidRPr="000934DB" w:rsidRDefault="00000000" w:rsidP="000934DB">
      <w:pPr>
        <w:pStyle w:val="Nagwek5"/>
        <w:ind w:right="223"/>
      </w:pPr>
      <w:r>
        <w:rPr>
          <w:color w:val="F07D00"/>
        </w:rPr>
        <w:t>Qualification of Three Projects by Celon Pharma S.A. for Co-Funding under the National Recovery and Resilience Plan. The total amount of support granted for the three projects amounts to PLN 31.66 million.</w:t>
      </w:r>
    </w:p>
    <w:p w14:paraId="691D7855" w14:textId="77777777" w:rsidR="00E1198C" w:rsidRDefault="00000000">
      <w:pPr>
        <w:pStyle w:val="Tekstpodstawowy"/>
        <w:spacing w:before="146" w:line="273" w:lineRule="auto"/>
        <w:ind w:left="521" w:right="417"/>
        <w:jc w:val="both"/>
      </w:pPr>
      <w:r>
        <w:t>On February 6, 2025, the Company received information that three of its applications for project co-funding (“Projects”) submitted under the Call for Proposals for Entrepreneurs to Conduct Research in the Area of Medicine Safety, Innovative Therapies, and Medicines of the Future, announced by the Medical Research Agency, and implemented under the National Recovery and Resilience Plan (2024/ABM/05/</w:t>
      </w:r>
      <w:proofErr w:type="spellStart"/>
      <w:r>
        <w:t>KPO</w:t>
      </w:r>
      <w:proofErr w:type="spellEnd"/>
      <w:r>
        <w:t>), were recommended for co-funding. The total amount of support granted for the three projects amounts to PLN 31.66 million.</w:t>
      </w:r>
    </w:p>
    <w:p w14:paraId="2A9E492B" w14:textId="77777777" w:rsidR="00E1198C" w:rsidRDefault="00000000">
      <w:pPr>
        <w:pStyle w:val="Tekstpodstawowy"/>
        <w:spacing w:before="135"/>
        <w:ind w:left="521"/>
        <w:jc w:val="both"/>
      </w:pPr>
      <w:r>
        <w:t>The titles of the Projects recommended for co-funding and the corresponding amounts of support are as follows:</w:t>
      </w:r>
    </w:p>
    <w:p w14:paraId="1569CCDE" w14:textId="77777777" w:rsidR="00E1198C" w:rsidRDefault="00000000">
      <w:pPr>
        <w:pStyle w:val="Akapitzlist"/>
        <w:numPr>
          <w:ilvl w:val="0"/>
          <w:numId w:val="40"/>
        </w:numPr>
        <w:tabs>
          <w:tab w:val="left" w:pos="684"/>
        </w:tabs>
        <w:spacing w:before="152"/>
        <w:ind w:left="684" w:hanging="174"/>
        <w:rPr>
          <w:sz w:val="18"/>
        </w:rPr>
      </w:pPr>
      <w:r>
        <w:rPr>
          <w:sz w:val="18"/>
        </w:rPr>
        <w:t>A highly purified next-generation GLP-1 analog with reduced immunogenicity risk – granted co-funding amount: PLN 10.69 million;</w:t>
      </w:r>
    </w:p>
    <w:p w14:paraId="16E516C0" w14:textId="77777777" w:rsidR="00E1198C" w:rsidRDefault="00000000">
      <w:pPr>
        <w:pStyle w:val="Akapitzlist"/>
        <w:numPr>
          <w:ilvl w:val="0"/>
          <w:numId w:val="40"/>
        </w:numPr>
        <w:tabs>
          <w:tab w:val="left" w:pos="680"/>
        </w:tabs>
        <w:spacing w:before="151" w:line="283" w:lineRule="auto"/>
        <w:ind w:left="510" w:right="475" w:firstLine="0"/>
        <w:rPr>
          <w:sz w:val="18"/>
        </w:rPr>
      </w:pPr>
      <w:r>
        <w:rPr>
          <w:sz w:val="18"/>
        </w:rPr>
        <w:t>Development of a manufacturing technology and preclinical safety assessment of an innovative conjugate with immunomodulatory and cytotoxic activity as a new anticancer medicine candidate (KONGO 2.0) – granted co-funding amount: PLN 11.26 million;</w:t>
      </w:r>
    </w:p>
    <w:p w14:paraId="270D742D" w14:textId="730101BC" w:rsidR="00E1198C" w:rsidRPr="000934DB" w:rsidRDefault="00000000" w:rsidP="000934DB">
      <w:pPr>
        <w:pStyle w:val="Akapitzlist"/>
        <w:numPr>
          <w:ilvl w:val="0"/>
          <w:numId w:val="40"/>
        </w:numPr>
        <w:tabs>
          <w:tab w:val="left" w:pos="745"/>
        </w:tabs>
        <w:spacing w:before="112"/>
        <w:ind w:left="745" w:hanging="235"/>
        <w:rPr>
          <w:sz w:val="18"/>
        </w:rPr>
      </w:pPr>
      <w:proofErr w:type="spellStart"/>
      <w:r>
        <w:rPr>
          <w:sz w:val="18"/>
        </w:rPr>
        <w:t>SimOn</w:t>
      </w:r>
      <w:proofErr w:type="spellEnd"/>
      <w:r>
        <w:rPr>
          <w:sz w:val="18"/>
        </w:rPr>
        <w:t xml:space="preserve"> – enhancing medicine security through the development of a scalable manufacturing process for a biosimilar anti-PD-1 monoclonal antibody for use in cancer immunotherapy – granted co-funding amount: PLN 9.71 million.</w:t>
      </w:r>
    </w:p>
    <w:p w14:paraId="4A2E9752" w14:textId="77777777" w:rsidR="00E1198C" w:rsidRDefault="00000000">
      <w:pPr>
        <w:pStyle w:val="Tekstpodstawowy"/>
        <w:spacing w:before="151"/>
        <w:ind w:left="510"/>
        <w:jc w:val="both"/>
      </w:pPr>
      <w:r>
        <w:t>The Projects are scheduled for completion at the end of March 2026.</w:t>
      </w:r>
    </w:p>
    <w:p w14:paraId="78700EBC" w14:textId="77777777" w:rsidR="00E1198C" w:rsidRDefault="00000000">
      <w:pPr>
        <w:pStyle w:val="Tekstpodstawowy"/>
        <w:spacing w:before="152" w:line="278" w:lineRule="auto"/>
        <w:ind w:left="510" w:right="477"/>
        <w:jc w:val="both"/>
      </w:pPr>
      <w:r>
        <w:t>The objective of the first of the aforementioned projects is to develop a new medicinal product in the form of a peptide-based generic medicine (an analogue of human glucagon-like peptide-1 (GLP-1)), which will contain an active pharmaceutical ingredient (API) obtained through synthetic processes. The use of a synthetically manufactured active substance offers significant advantages over traditional biological manufacturing methods, including a higher level of process control, improved product purity by reducing the risk of biological contaminants, as well as a lower risk of immunogenicity. By implementing the modern version of the drug into manufacturing, Celon Pharma S.A. will contribute to the introduction of a medicinal product to the market that will be available to patients with insufficiently controlled type 2 diabetes. The Project is consistent with Celon Pharma S.A.'s broader development strategy, which includes building a comprehensive portfolio of cardiometabolic drugs as one of its pillars.</w:t>
      </w:r>
    </w:p>
    <w:p w14:paraId="7DF23C5A" w14:textId="77777777" w:rsidR="00E1198C" w:rsidRDefault="00000000">
      <w:pPr>
        <w:pStyle w:val="Tekstpodstawowy"/>
        <w:spacing w:before="110" w:line="273" w:lineRule="auto"/>
        <w:ind w:left="510" w:right="473"/>
        <w:jc w:val="both"/>
      </w:pPr>
      <w:r>
        <w:t xml:space="preserve">The objective of the second project is to develop an efficient and scalable manufacturing process for an ADC (Antibody-Drug Conjugate) based on a bispecific anti-AXL/PD-L1 antibody conjugated with the cytotoxic molecule </w:t>
      </w:r>
      <w:proofErr w:type="spellStart"/>
      <w:r>
        <w:t>MMAE</w:t>
      </w:r>
      <w:proofErr w:type="spellEnd"/>
      <w:r>
        <w:t xml:space="preserve">. The project focuses on the application of </w:t>
      </w:r>
      <w:proofErr w:type="spellStart"/>
      <w:r>
        <w:t>glyco</w:t>
      </w:r>
      <w:proofErr w:type="spellEnd"/>
      <w:r>
        <w:t>-conjugation technology, enabling site-specific attachment of cytotoxic medicines to antibodies, thereby enhancing the selectivity and therapeutic efficacy of anticancer treatment. Within the project, a scalable manufacturing process will also be developed, and advanced analytical methods will be implemented for product quality control. The implementation of the project aims to provide a novel therapeutic option for cancer patients, including those with resistance to existing anti-PD-1/PD-L1 therapies.</w:t>
      </w:r>
    </w:p>
    <w:p w14:paraId="510244DA" w14:textId="77777777" w:rsidR="00E1198C" w:rsidRDefault="00000000">
      <w:pPr>
        <w:pStyle w:val="Tekstpodstawowy"/>
        <w:spacing w:before="137" w:line="271" w:lineRule="auto"/>
        <w:ind w:left="510" w:right="478"/>
        <w:jc w:val="both"/>
      </w:pPr>
      <w:r>
        <w:t>The objective of the third project is to develop a scalable and reproducible manufacturing process for a humanized monospecific IgG4 antibody that blocks the programmed cell death protein (PD-1) receptor, inhibiting its interactions with the PD-L1 and PD-L2 ligands. Inhibition</w:t>
      </w:r>
    </w:p>
    <w:p w14:paraId="5F183849" w14:textId="77777777" w:rsidR="00E1198C" w:rsidRDefault="00E1198C">
      <w:pPr>
        <w:spacing w:line="271" w:lineRule="auto"/>
        <w:jc w:val="both"/>
        <w:sectPr w:rsidR="00E1198C">
          <w:pgSz w:w="11900" w:h="16840"/>
          <w:pgMar w:top="820" w:right="320" w:bottom="920" w:left="300" w:header="0" w:footer="726" w:gutter="0"/>
          <w:cols w:space="708"/>
        </w:sectPr>
      </w:pPr>
    </w:p>
    <w:p w14:paraId="3F34213C" w14:textId="2D6CAAE5" w:rsidR="00E1198C" w:rsidRDefault="00000000">
      <w:pPr>
        <w:pStyle w:val="Tekstpodstawowy"/>
        <w:spacing w:before="61" w:line="276" w:lineRule="auto"/>
        <w:ind w:left="510" w:right="472"/>
      </w:pPr>
      <w:r>
        <w:lastRenderedPageBreak/>
        <w:t>of this signaling pathway prevents T-cell exhaustion, thereby potentiating antitumor immune responses. The drug was first approved by the FDA in 2014 for the treatment of melanoma, and subsequently for the therapy of non–small cell lung cancer, cervical cancer, and other types of cancer. The implementation of the project will contribute to enhancing medicine safety in Poland and Europe, as well as improving access to affordable oncology therapies. The project addresses the growing demand for cost-effective biologic therapies that can serve as alternatives to high-priced reference medicines.</w:t>
      </w:r>
    </w:p>
    <w:p w14:paraId="4DEBD708" w14:textId="77777777" w:rsidR="00E1198C" w:rsidRDefault="00000000">
      <w:pPr>
        <w:pStyle w:val="Tekstpodstawowy"/>
        <w:spacing w:before="121" w:line="276" w:lineRule="auto"/>
        <w:ind w:left="510" w:right="483"/>
        <w:jc w:val="both"/>
      </w:pPr>
      <w:r>
        <w:t>Transfer of funds for the implementation of the project is conditional upon the signing of the relevant “Project Co-funding Agreement” within 30 working days from the date on which the information on the competition results was communicated to the Company. The Company will announce the conclusion of the co-funding agreement in a separate current report.</w:t>
      </w:r>
    </w:p>
    <w:p w14:paraId="30921501" w14:textId="77777777" w:rsidR="000934DB" w:rsidRDefault="00000000" w:rsidP="000934DB">
      <w:pPr>
        <w:pStyle w:val="Tekstpodstawowy"/>
        <w:spacing w:before="120"/>
        <w:ind w:left="510"/>
        <w:jc w:val="both"/>
      </w:pPr>
      <w:r>
        <w:t>The Company announced the above in current report No. 2/2025 dated February 06, 2025.</w:t>
      </w:r>
    </w:p>
    <w:p w14:paraId="69CAC158" w14:textId="0980E306" w:rsidR="00E1198C" w:rsidRDefault="00000000" w:rsidP="000934DB">
      <w:pPr>
        <w:pStyle w:val="Tekstpodstawowy"/>
        <w:spacing w:before="120"/>
        <w:ind w:left="510" w:right="507"/>
        <w:jc w:val="both"/>
      </w:pPr>
      <w:r>
        <w:t>As at the date of publication of the report, the Company had concluded two agreements on project co-funding for the aforementioned projects listed in points 1 and 2, as announced in current report No. 7/2025 of April 29, 2025. The Company will announce the signing of the agreement concerning the project referred to in point 3 in a separate current report.</w:t>
      </w:r>
    </w:p>
    <w:p w14:paraId="22684874" w14:textId="77777777" w:rsidR="00E1198C" w:rsidRDefault="00E1198C">
      <w:pPr>
        <w:pStyle w:val="Tekstpodstawowy"/>
        <w:spacing w:before="14"/>
      </w:pPr>
    </w:p>
    <w:p w14:paraId="15B04ACF" w14:textId="77777777" w:rsidR="00E1198C" w:rsidRDefault="00000000">
      <w:pPr>
        <w:pStyle w:val="Nagwek5"/>
        <w:ind w:left="489"/>
        <w:jc w:val="both"/>
      </w:pPr>
      <w:r>
        <w:rPr>
          <w:color w:val="F07D00"/>
        </w:rPr>
        <w:t>Decision to implement a change in the Issuer’s organizational structure</w:t>
      </w:r>
    </w:p>
    <w:p w14:paraId="27329150" w14:textId="77777777" w:rsidR="00E1198C" w:rsidRDefault="00000000">
      <w:pPr>
        <w:pStyle w:val="Tekstpodstawowy"/>
        <w:spacing w:before="158" w:line="273" w:lineRule="auto"/>
        <w:ind w:left="510" w:right="418"/>
        <w:jc w:val="both"/>
      </w:pPr>
      <w:r>
        <w:t>As a result of reviewing the efficiency of the Issuer’s business processes, on February 14, 2025, the Company’s Management Board adopted a resolution to implement a new organizational regulations for the Issuer, under which three main organizational units were established: (I) Shared Services Center (“Holding activities”); Celon Pharma Specialized Pharmaceuticals (“Generic activities”); as well as (iii) Celon Pharma Pharmaceutical Innovations (“Innovation activities”) (see point 1.4 above).</w:t>
      </w:r>
    </w:p>
    <w:p w14:paraId="59FD60AF" w14:textId="77777777" w:rsidR="00E1198C" w:rsidRDefault="00000000">
      <w:pPr>
        <w:pStyle w:val="Tekstpodstawowy"/>
        <w:spacing w:before="123"/>
        <w:ind w:left="510"/>
      </w:pPr>
      <w:r>
        <w:t>The Company announced the above in current report No. 3/2025 dated February 14, 2025.</w:t>
      </w:r>
    </w:p>
    <w:p w14:paraId="6873035F" w14:textId="77777777" w:rsidR="00E1198C" w:rsidRDefault="00E1198C">
      <w:pPr>
        <w:pStyle w:val="Tekstpodstawowy"/>
        <w:spacing w:before="26"/>
      </w:pPr>
    </w:p>
    <w:p w14:paraId="1F553FA3" w14:textId="77777777" w:rsidR="00E1198C" w:rsidRDefault="00000000">
      <w:pPr>
        <w:pStyle w:val="Nagwek5"/>
        <w:spacing w:before="1"/>
        <w:ind w:left="489"/>
      </w:pPr>
      <w:r>
        <w:rPr>
          <w:color w:val="F07D00"/>
        </w:rPr>
        <w:t>Positive results from the Phase II clinical trial of CPL’36, a PDE10A inhibitor, for the treatment of dyskinesias in Parkinson’s disease</w:t>
      </w:r>
    </w:p>
    <w:p w14:paraId="247707D0" w14:textId="77777777" w:rsidR="00E1198C" w:rsidRDefault="00000000" w:rsidP="00650FD4">
      <w:pPr>
        <w:pStyle w:val="Tekstpodstawowy"/>
        <w:spacing w:before="146"/>
        <w:ind w:left="510" w:right="472"/>
      </w:pPr>
      <w:r>
        <w:t>On March 4, 2025, the Management Board of Celon Pharma S.A. announced in its current report No. 6/2025 positive results from the Phase II clinical trial evaluating the use of this compound in patients with dyskinesias in Parkinson’s disease.</w:t>
      </w:r>
    </w:p>
    <w:p w14:paraId="057387DD" w14:textId="77777777" w:rsidR="00E1198C" w:rsidRDefault="00000000" w:rsidP="00650FD4">
      <w:pPr>
        <w:pStyle w:val="Tekstpodstawowy"/>
        <w:spacing w:before="112"/>
        <w:ind w:left="510" w:right="421"/>
        <w:jc w:val="both"/>
      </w:pPr>
      <w:r>
        <w:t xml:space="preserve">The conducted trial was an international, multicenter, randomized, placebo-controlled clinical trial involving 105 adult patients with dyskinesias in Parkinson’s disease. CPL’36 was administered for 4 weeks at two dose levels, 20 mg and 40 mg once daily, along placebo in a 1:1:1 ratio. Patients enrolled in the trial had a baseline dyskinesia score of approximately 45 points on the </w:t>
      </w:r>
      <w:proofErr w:type="spellStart"/>
      <w:r>
        <w:t>UDysRS</w:t>
      </w:r>
      <w:proofErr w:type="spellEnd"/>
      <w:r>
        <w:t xml:space="preserve"> Total (Unified Dyskinesia Rating Scale), indicating a moderately severe to severe disease state.</w:t>
      </w:r>
    </w:p>
    <w:p w14:paraId="3C2FDFD5" w14:textId="77777777" w:rsidR="00E1198C" w:rsidRDefault="00000000" w:rsidP="00650FD4">
      <w:pPr>
        <w:pStyle w:val="Tekstpodstawowy"/>
        <w:spacing w:before="123"/>
        <w:ind w:left="510" w:right="418"/>
        <w:jc w:val="both"/>
      </w:pPr>
      <w:r>
        <w:t xml:space="preserve">At Week 4 of treatment, CPL’36 at a 20 mg dose demonstrated an improvement versus placebo on the </w:t>
      </w:r>
      <w:proofErr w:type="spellStart"/>
      <w:r>
        <w:t>UDysRS</w:t>
      </w:r>
      <w:proofErr w:type="spellEnd"/>
      <w:r>
        <w:t xml:space="preserve"> Total scale, the primary endpoint, by 12.30 points (LS mean difference from placebo, p&lt;0.001, Cohen’s d: 0.90) and at a dose of 40 mg showed improvement of 13.58 units (LS mean difference from placebo, p&lt;0.001, Cohen's d: 1.00).</w:t>
      </w:r>
    </w:p>
    <w:p w14:paraId="13AAD136" w14:textId="77777777" w:rsidR="00E1198C" w:rsidRDefault="00000000" w:rsidP="00650FD4">
      <w:pPr>
        <w:pStyle w:val="Tekstpodstawowy"/>
        <w:spacing w:before="120"/>
        <w:ind w:left="510" w:right="640"/>
        <w:jc w:val="both"/>
      </w:pPr>
      <w:r>
        <w:t xml:space="preserve">CPL’36 demonstrated improvement across most secondary endpoints, including the objective subscale of the </w:t>
      </w:r>
      <w:proofErr w:type="spellStart"/>
      <w:r>
        <w:t>UDysRS</w:t>
      </w:r>
      <w:proofErr w:type="spellEnd"/>
      <w:r>
        <w:t>, where both doses showed statistically significant improvement as early as Day 7 of treatment.</w:t>
      </w:r>
    </w:p>
    <w:p w14:paraId="0786BBBA" w14:textId="35633DB5" w:rsidR="00E1198C" w:rsidRDefault="00000000" w:rsidP="00650FD4">
      <w:pPr>
        <w:pStyle w:val="Tekstpodstawowy"/>
        <w:spacing w:before="111"/>
        <w:ind w:left="510" w:right="426"/>
        <w:jc w:val="both"/>
      </w:pPr>
      <w:r>
        <w:t>The drug tolerability was high. Only a few severe adverse effects occurred (8.8% in the placebo group, 0% in the 20 mg group, and 5.7% in the 40 mg group). Treatment discontinuation due to treatment-related adverse effects occurred in 2.9% of patients in the placebo group, 11.1% of patients in the 20 mg group, and 8.6% of patients in the 40 mg group. No deaths were reported. One serious adverse effect – moderate atrial fibrillation – was reported in the 40 mg dose group. The adverse effect occurring consistently more frequently in the active treatment groups was somnolence, with mild to moderate severity.</w:t>
      </w:r>
    </w:p>
    <w:p w14:paraId="56DC7D06" w14:textId="77777777" w:rsidR="00E1198C" w:rsidRDefault="00000000" w:rsidP="00650FD4">
      <w:pPr>
        <w:pStyle w:val="Tekstpodstawowy"/>
        <w:spacing w:before="108"/>
        <w:ind w:left="510" w:right="469"/>
        <w:jc w:val="both"/>
      </w:pPr>
      <w:r>
        <w:t>The trial met all predefined criteria, significantly exceeding the Company’s prior medical assumptions. It demonstrated strong and consistent efficacy of CPL’36 in dyskinesias in Parkinson’s disease across multiple assessment scales. The clinical effect size of the medicine was substantial.</w:t>
      </w:r>
    </w:p>
    <w:p w14:paraId="63B540B2" w14:textId="77777777" w:rsidR="00E1198C" w:rsidRDefault="00000000" w:rsidP="00650FD4">
      <w:pPr>
        <w:pStyle w:val="Tekstpodstawowy"/>
        <w:spacing w:before="133"/>
        <w:ind w:left="510" w:right="425"/>
        <w:jc w:val="both"/>
      </w:pPr>
      <w:r>
        <w:t>This is the first clinical trial demonstrating that PDE10A inhibition with CPL’36 in patients with dyskinesias in Parkinson’s disease produces positive, statistically significant, and clinically meaningful effects across both primary and secondary endpoints. In the Company’s opinion, its results will be of significant importance for the development of the pharmacotherapy market for Parkinson's disease.</w:t>
      </w:r>
    </w:p>
    <w:p w14:paraId="3B7FCD9F" w14:textId="77777777" w:rsidR="00E1198C" w:rsidRDefault="00E1198C">
      <w:pPr>
        <w:pStyle w:val="Tekstpodstawowy"/>
        <w:spacing w:before="6"/>
      </w:pPr>
    </w:p>
    <w:p w14:paraId="31002840" w14:textId="77777777" w:rsidR="00E1198C" w:rsidRDefault="00000000">
      <w:pPr>
        <w:pStyle w:val="Nagwek5"/>
        <w:spacing w:line="256" w:lineRule="auto"/>
        <w:ind w:left="489" w:right="1165"/>
      </w:pPr>
      <w:r>
        <w:rPr>
          <w:color w:val="F07D00"/>
        </w:rPr>
        <w:t>Information on the Qualification of Celon Pharma S.A.’s Project for Co-Funding under the “European Funds for a Modern Economy” Program</w:t>
      </w:r>
    </w:p>
    <w:p w14:paraId="6E14F0C5" w14:textId="77777777" w:rsidR="00E1198C" w:rsidRDefault="00000000">
      <w:pPr>
        <w:pStyle w:val="Tekstpodstawowy"/>
        <w:spacing w:before="141" w:line="273" w:lineRule="auto"/>
        <w:ind w:left="510" w:right="424"/>
        <w:jc w:val="both"/>
      </w:pPr>
      <w:r>
        <w:t>On April 9, 2025, the Management Board of the Company received information that the project entitled “Development of an mRNA Complex with Lipid Nanoparticles (</w:t>
      </w:r>
      <w:proofErr w:type="spellStart"/>
      <w:r>
        <w:t>LNP</w:t>
      </w:r>
      <w:proofErr w:type="spellEnd"/>
      <w:r>
        <w:t>) with Reduced Immunogenicity for Use in Protein Replacement Therapy” (the “Project”) has been qualified for co-funding under the “European Funds for a Modern Economy” Program, Priority “Support for Entrepreneurs,” SMART Track, call number FENG.01.01-IP.01-001/24 (the “Co-Funding”).</w:t>
      </w:r>
    </w:p>
    <w:p w14:paraId="3465A762" w14:textId="1A1FCC8E" w:rsidR="00E1198C" w:rsidRDefault="00000000">
      <w:pPr>
        <w:pStyle w:val="Tekstpodstawowy"/>
        <w:spacing w:before="123" w:line="271" w:lineRule="auto"/>
        <w:ind w:left="510" w:right="422"/>
        <w:jc w:val="both"/>
      </w:pPr>
      <w:r>
        <w:t>The objective of the Project is the development of an mRNA complex with lipid nanoparticles (</w:t>
      </w:r>
      <w:proofErr w:type="spellStart"/>
      <w:r>
        <w:t>LNP</w:t>
      </w:r>
      <w:proofErr w:type="spellEnd"/>
      <w:r>
        <w:t>) with reduced immunogenicity. The development of a new mRNA-</w:t>
      </w:r>
      <w:proofErr w:type="spellStart"/>
      <w:r>
        <w:t>LNP</w:t>
      </w:r>
      <w:proofErr w:type="spellEnd"/>
      <w:r>
        <w:t xml:space="preserve"> complex with reduced immunogenicity compared to existing solutions has the potential to initiate a breakthrough in protein replacement therapy, similar to the transformative impact that mRNA technology has already achieved in the field of vaccines. The final product developed under this Project will have broad therapeutic applications in the treatment of various diseases associated with protein deficiencies or dysfunctions, for which existing treatment methods have been either ineffective or burdened with significant adverse effects. The Project will include the full scope of preclinical development activities – from the synthesis of key </w:t>
      </w:r>
      <w:proofErr w:type="spellStart"/>
      <w:r>
        <w:t>LNP</w:t>
      </w:r>
      <w:proofErr w:type="spellEnd"/>
      <w:r>
        <w:t xml:space="preserve"> building blocks, preparation of DNA templates, and mRNA synthesis, to the formulation of mRNA-</w:t>
      </w:r>
      <w:proofErr w:type="spellStart"/>
      <w:r>
        <w:t>LNP</w:t>
      </w:r>
      <w:proofErr w:type="spellEnd"/>
      <w:r>
        <w:t xml:space="preserve"> complexes at both small and large scales, followed by comprehensive in vitro and in vivo studies, including toxicological studies.</w:t>
      </w:r>
    </w:p>
    <w:p w14:paraId="6985DF1A" w14:textId="16AA6883" w:rsidR="00E1198C" w:rsidRPr="000934DB" w:rsidRDefault="000934DB" w:rsidP="000934DB">
      <w:pPr>
        <w:spacing w:line="271" w:lineRule="auto"/>
        <w:jc w:val="right"/>
        <w:rPr>
          <w:sz w:val="18"/>
          <w:szCs w:val="18"/>
        </w:rPr>
      </w:pPr>
      <w:r>
        <w:rPr>
          <w:sz w:val="18"/>
        </w:rPr>
        <w:t>15</w:t>
      </w:r>
    </w:p>
    <w:p w14:paraId="3AD33125" w14:textId="77777777" w:rsidR="000934DB" w:rsidRDefault="000934DB">
      <w:pPr>
        <w:spacing w:line="271" w:lineRule="auto"/>
        <w:jc w:val="both"/>
        <w:sectPr w:rsidR="000934DB" w:rsidSect="000934DB">
          <w:footerReference w:type="default" r:id="rId10"/>
          <w:pgSz w:w="11900" w:h="16840"/>
          <w:pgMar w:top="709" w:right="320" w:bottom="0" w:left="300" w:header="0" w:footer="0" w:gutter="0"/>
          <w:cols w:space="708"/>
        </w:sectPr>
      </w:pPr>
    </w:p>
    <w:p w14:paraId="53112A6A" w14:textId="77777777" w:rsidR="00E1198C" w:rsidRDefault="00000000" w:rsidP="00650FD4">
      <w:pPr>
        <w:pStyle w:val="Tekstpodstawowy"/>
        <w:spacing w:before="61"/>
        <w:ind w:left="510" w:right="507"/>
        <w:jc w:val="both"/>
      </w:pPr>
      <w:r>
        <w:lastRenderedPageBreak/>
        <w:t>The Project will also include the development of the mRNA-</w:t>
      </w:r>
      <w:proofErr w:type="spellStart"/>
      <w:r>
        <w:t>LNP</w:t>
      </w:r>
      <w:proofErr w:type="spellEnd"/>
      <w:r>
        <w:t xml:space="preserve"> formulation in compliance with Good Manufacturing Practice (</w:t>
      </w:r>
      <w:proofErr w:type="spellStart"/>
      <w:r>
        <w:t>GMP</w:t>
      </w:r>
      <w:proofErr w:type="spellEnd"/>
      <w:r>
        <w:t>) standards, as well as the execution of clinical trials. The completion date for the Project, as specified at the time of application submission, has been set for December 31, 2029.</w:t>
      </w:r>
    </w:p>
    <w:p w14:paraId="5494F368" w14:textId="77777777" w:rsidR="00E1198C" w:rsidRDefault="00000000" w:rsidP="00650FD4">
      <w:pPr>
        <w:pStyle w:val="Tekstpodstawowy"/>
        <w:spacing w:before="112"/>
        <w:ind w:left="510" w:right="479"/>
        <w:jc w:val="both"/>
      </w:pPr>
      <w:r>
        <w:t>The total cost of the Project specified by the Company in the Co-funding application amounts to PLN 121.2 million. The recommended amount of Co-funding is equal to the amount requested and amounts to PLN 65.8 million. The transfer of funds for the implementation of the Project is conditional upon the signing of the Co-funding Agreement.</w:t>
      </w:r>
    </w:p>
    <w:p w14:paraId="714AC0E2" w14:textId="77777777" w:rsidR="00E1198C" w:rsidRDefault="00000000" w:rsidP="00650FD4">
      <w:pPr>
        <w:pStyle w:val="Tekstpodstawowy"/>
        <w:spacing w:before="133"/>
        <w:ind w:left="510"/>
        <w:jc w:val="both"/>
      </w:pPr>
      <w:r>
        <w:t>The Company announced the above event in current report No. 5/2025 dated April 09, 2025.</w:t>
      </w:r>
    </w:p>
    <w:p w14:paraId="5BD691B7" w14:textId="77777777" w:rsidR="00E1198C" w:rsidRDefault="00E1198C">
      <w:pPr>
        <w:pStyle w:val="Tekstpodstawowy"/>
        <w:spacing w:before="44"/>
      </w:pPr>
    </w:p>
    <w:p w14:paraId="51A0FDCF" w14:textId="77777777" w:rsidR="00E1198C" w:rsidRDefault="00000000">
      <w:pPr>
        <w:pStyle w:val="Akapitzlist"/>
        <w:numPr>
          <w:ilvl w:val="0"/>
          <w:numId w:val="43"/>
        </w:numPr>
        <w:tabs>
          <w:tab w:val="left" w:pos="942"/>
        </w:tabs>
        <w:ind w:hanging="432"/>
        <w:rPr>
          <w:sz w:val="18"/>
        </w:rPr>
      </w:pPr>
      <w:r>
        <w:rPr>
          <w:color w:val="F5811F"/>
          <w:sz w:val="18"/>
        </w:rPr>
        <w:t>Financial information of Celon Pharma S.A. for 2024</w:t>
      </w:r>
      <w:r>
        <w:rPr>
          <w:color w:val="F5811F"/>
          <w:sz w:val="18"/>
        </w:rPr>
        <w:tab/>
      </w:r>
    </w:p>
    <w:p w14:paraId="2835D05B" w14:textId="77777777" w:rsidR="00E1198C" w:rsidRDefault="00E1198C">
      <w:pPr>
        <w:pStyle w:val="Tekstpodstawowy"/>
        <w:spacing w:before="56"/>
      </w:pPr>
    </w:p>
    <w:p w14:paraId="33870AF3" w14:textId="77777777" w:rsidR="00E1198C" w:rsidRDefault="00000000">
      <w:pPr>
        <w:pStyle w:val="Akapitzlist"/>
        <w:numPr>
          <w:ilvl w:val="1"/>
          <w:numId w:val="43"/>
        </w:numPr>
        <w:tabs>
          <w:tab w:val="left" w:pos="1088"/>
        </w:tabs>
        <w:ind w:hanging="578"/>
        <w:rPr>
          <w:sz w:val="18"/>
        </w:rPr>
      </w:pPr>
      <w:r>
        <w:rPr>
          <w:color w:val="F07D00"/>
          <w:sz w:val="18"/>
        </w:rPr>
        <w:t>Principles for the preparation of the financial statements</w:t>
      </w:r>
    </w:p>
    <w:p w14:paraId="5EBBE896" w14:textId="77777777" w:rsidR="00E1198C" w:rsidRDefault="00E1198C">
      <w:pPr>
        <w:pStyle w:val="Tekstpodstawowy"/>
        <w:spacing w:before="134"/>
      </w:pPr>
    </w:p>
    <w:p w14:paraId="7B3080E0" w14:textId="1BA9BD7D" w:rsidR="00E1198C" w:rsidRDefault="00000000" w:rsidP="000934DB">
      <w:pPr>
        <w:pStyle w:val="Tekstpodstawowy"/>
        <w:ind w:left="510" w:right="507"/>
        <w:jc w:val="both"/>
      </w:pPr>
      <w:r>
        <w:rPr>
          <w:color w:val="231F20"/>
        </w:rPr>
        <w:t>The financial statements of Celon Pharma S.A. for the financial year 2024 were prepared in accordance with the International Financial Reporting Standards and related interpretations published in the form of European Commission regulations (collectively</w:t>
      </w:r>
      <w:r>
        <w:t xml:space="preserve">: </w:t>
      </w:r>
      <w:r>
        <w:rPr>
          <w:color w:val="231F20"/>
        </w:rPr>
        <w:t>“IFRS”). The statements present the financial position of the Company as at December 31, 2024 and December 31, 2023, the results achieved from the Company’s activities and the cash flows for the 12-month period ended on December 31, 2024 and December 31, 2023.</w:t>
      </w:r>
    </w:p>
    <w:p w14:paraId="0ECD0272" w14:textId="77777777" w:rsidR="00E1198C" w:rsidRDefault="00E1198C">
      <w:pPr>
        <w:pStyle w:val="Tekstpodstawowy"/>
        <w:spacing w:before="27"/>
      </w:pPr>
    </w:p>
    <w:p w14:paraId="69E386A2" w14:textId="77777777" w:rsidR="00E1198C" w:rsidRDefault="00000000">
      <w:pPr>
        <w:pStyle w:val="Akapitzlist"/>
        <w:numPr>
          <w:ilvl w:val="1"/>
          <w:numId w:val="43"/>
        </w:numPr>
        <w:tabs>
          <w:tab w:val="left" w:pos="1088"/>
        </w:tabs>
        <w:ind w:hanging="578"/>
        <w:rPr>
          <w:sz w:val="18"/>
        </w:rPr>
      </w:pPr>
      <w:r>
        <w:rPr>
          <w:color w:val="F07D00"/>
          <w:sz w:val="18"/>
        </w:rPr>
        <w:t>Basic figures and economic, financial and non-financial indicators</w:t>
      </w:r>
      <w:r>
        <w:rPr>
          <w:color w:val="F07D00"/>
          <w:sz w:val="18"/>
        </w:rPr>
        <w:tab/>
      </w:r>
    </w:p>
    <w:p w14:paraId="58B0F008" w14:textId="77777777" w:rsidR="00E1198C" w:rsidRDefault="00E1198C">
      <w:pPr>
        <w:pStyle w:val="Tekstpodstawowy"/>
        <w:spacing w:before="134"/>
      </w:pPr>
    </w:p>
    <w:p w14:paraId="16F5546D" w14:textId="77777777" w:rsidR="00E1198C" w:rsidRDefault="00000000">
      <w:pPr>
        <w:pStyle w:val="Tekstpodstawowy"/>
        <w:spacing w:line="271" w:lineRule="auto"/>
        <w:ind w:left="510" w:right="482"/>
        <w:jc w:val="both"/>
      </w:pPr>
      <w:r>
        <w:rPr>
          <w:color w:val="231F20"/>
        </w:rPr>
        <w:t>The Company’s financial situation as of the end of December 2024 is stable, as evidenced by, among others, the financial liquidity ratios that remain on high levels; they are presented in the table in point 1.2.</w:t>
      </w:r>
    </w:p>
    <w:p w14:paraId="5CB49431" w14:textId="77777777" w:rsidR="00E1198C" w:rsidRDefault="00000000">
      <w:pPr>
        <w:pStyle w:val="Tekstpodstawowy"/>
        <w:spacing w:before="201" w:line="283" w:lineRule="auto"/>
        <w:ind w:left="510" w:right="478"/>
        <w:jc w:val="both"/>
      </w:pPr>
      <w:r>
        <w:rPr>
          <w:color w:val="231F20"/>
        </w:rPr>
        <w:t>In the opinion of the Company, non-financial performance indicators, including the matters related to the ESG area, in particular the climate factors, or social issues related to the Issuer's operations, do not affect the assessment of the Issuer's development, results and standing.</w:t>
      </w:r>
    </w:p>
    <w:p w14:paraId="16A5F74B" w14:textId="77777777" w:rsidR="00E1198C" w:rsidRDefault="00E1198C">
      <w:pPr>
        <w:pStyle w:val="Tekstpodstawowy"/>
        <w:spacing w:before="16"/>
      </w:pPr>
    </w:p>
    <w:p w14:paraId="780CA367" w14:textId="77777777" w:rsidR="00E1198C" w:rsidRDefault="00000000">
      <w:pPr>
        <w:pStyle w:val="Akapitzlist"/>
        <w:numPr>
          <w:ilvl w:val="1"/>
          <w:numId w:val="43"/>
        </w:numPr>
        <w:tabs>
          <w:tab w:val="left" w:pos="1088"/>
        </w:tabs>
        <w:ind w:hanging="578"/>
        <w:rPr>
          <w:sz w:val="18"/>
        </w:rPr>
      </w:pPr>
      <w:r>
        <w:rPr>
          <w:color w:val="F07D00"/>
          <w:sz w:val="18"/>
        </w:rPr>
        <w:t>Current and projected financial situation</w:t>
      </w:r>
      <w:r>
        <w:rPr>
          <w:color w:val="F07D00"/>
          <w:sz w:val="18"/>
        </w:rPr>
        <w:tab/>
      </w:r>
    </w:p>
    <w:p w14:paraId="17E5983D" w14:textId="77777777" w:rsidR="00E1198C" w:rsidRDefault="00E1198C">
      <w:pPr>
        <w:pStyle w:val="Tekstpodstawowy"/>
        <w:spacing w:before="123"/>
      </w:pPr>
    </w:p>
    <w:p w14:paraId="5E0E0C56" w14:textId="2481B760" w:rsidR="00E1198C" w:rsidRDefault="00000000">
      <w:pPr>
        <w:pStyle w:val="Tekstpodstawowy"/>
        <w:spacing w:line="278" w:lineRule="auto"/>
        <w:ind w:left="510" w:right="478"/>
        <w:jc w:val="both"/>
      </w:pPr>
      <w:r>
        <w:t>In the opinion of the Management Board, the Company enjoys a good financial situation. Revenues from sales in Poland are increasing, which results from the strong and stable position of the Company’s products in the reference therapeutic classes and effective sales and distribution support with sales and marketing activities. In connection with the introduction of the Zarixa, a generic product to the generic portfolio, the Company increased its domestic sales in 2024 by over PLN 30 million.</w:t>
      </w:r>
    </w:p>
    <w:p w14:paraId="5BFC3793" w14:textId="1F64B192" w:rsidR="00E1198C" w:rsidRDefault="00000000">
      <w:pPr>
        <w:pStyle w:val="Tekstpodstawowy"/>
        <w:spacing w:before="196" w:line="276" w:lineRule="auto"/>
        <w:ind w:left="510" w:right="475"/>
        <w:jc w:val="both"/>
      </w:pPr>
      <w:r>
        <w:t xml:space="preserve">The Company expects a further – but much less dynamic – increase in exports as a result of both the expansion of </w:t>
      </w:r>
      <w:proofErr w:type="spellStart"/>
      <w:r>
        <w:t>Salmex’s</w:t>
      </w:r>
      <w:proofErr w:type="spellEnd"/>
      <w:r>
        <w:t xml:space="preserve"> sales markets (</w:t>
      </w:r>
      <w:proofErr w:type="spellStart"/>
      <w:r>
        <w:t>Salmex’s</w:t>
      </w:r>
      <w:proofErr w:type="spellEnd"/>
      <w:r>
        <w:t xml:space="preserve"> registration processes are being conducted on more than 20 new markets under license agreements already in force) and the improvement of its sales in the markets where it is already present. At the same time, the Company observes the phenomena of price erosion typical of generic markets, which, however, did not cause a significant decrease in the value of sales. Together with a partner, </w:t>
      </w:r>
      <w:proofErr w:type="spellStart"/>
      <w:r>
        <w:t>Simcere</w:t>
      </w:r>
      <w:proofErr w:type="spellEnd"/>
      <w:r>
        <w:t>, the Company continues the process of clinical trials necessary to register Salmex on the Chinese market. In 2024, the Company continued the performing of an agreement with Zydus Worldwide DMCC for the joint development of a generic product in relation to the reference product of GlaxoSmithKline plc – Advair and the Company’s transfer of exclusive rights to commercialize this product in the US to a partner.</w:t>
      </w:r>
    </w:p>
    <w:p w14:paraId="75ECF7AA" w14:textId="77777777" w:rsidR="00E1198C" w:rsidRDefault="00E1198C">
      <w:pPr>
        <w:pStyle w:val="Tekstpodstawowy"/>
        <w:spacing w:before="26"/>
      </w:pPr>
    </w:p>
    <w:p w14:paraId="1EE618DD" w14:textId="77777777" w:rsidR="00E1198C" w:rsidRDefault="00000000">
      <w:pPr>
        <w:pStyle w:val="Akapitzlist"/>
        <w:numPr>
          <w:ilvl w:val="1"/>
          <w:numId w:val="43"/>
        </w:numPr>
        <w:tabs>
          <w:tab w:val="left" w:pos="1088"/>
        </w:tabs>
        <w:ind w:hanging="578"/>
        <w:rPr>
          <w:sz w:val="18"/>
        </w:rPr>
      </w:pPr>
      <w:r>
        <w:rPr>
          <w:color w:val="F07D00"/>
          <w:sz w:val="18"/>
        </w:rPr>
        <w:t>Factors and events, including those of an unusual nature, affecting the Company’s activities and financial results</w:t>
      </w:r>
      <w:r>
        <w:rPr>
          <w:color w:val="F07D00"/>
          <w:sz w:val="18"/>
        </w:rPr>
        <w:tab/>
      </w:r>
    </w:p>
    <w:p w14:paraId="7C54A388" w14:textId="77777777" w:rsidR="00E1198C" w:rsidRDefault="00E1198C">
      <w:pPr>
        <w:pStyle w:val="Tekstpodstawowy"/>
        <w:spacing w:before="123"/>
      </w:pPr>
    </w:p>
    <w:p w14:paraId="5612A306" w14:textId="77777777" w:rsidR="00E1198C" w:rsidRDefault="00000000">
      <w:pPr>
        <w:pStyle w:val="Tekstpodstawowy"/>
        <w:spacing w:line="283" w:lineRule="auto"/>
        <w:ind w:left="510" w:right="481"/>
        <w:jc w:val="both"/>
      </w:pPr>
      <w:r>
        <w:t>In the reporting period, there were no other factors and events than the ones indicated in the other sections of this periodic report, including those of an unusual nature, affecting the Company’s condensed financial statements.</w:t>
      </w:r>
    </w:p>
    <w:p w14:paraId="2404F885" w14:textId="77777777" w:rsidR="00E1198C" w:rsidRDefault="00E1198C">
      <w:pPr>
        <w:pStyle w:val="Tekstpodstawowy"/>
        <w:spacing w:before="4"/>
      </w:pPr>
    </w:p>
    <w:p w14:paraId="6DBEC9E6" w14:textId="74FD03C1" w:rsidR="00E1198C" w:rsidRDefault="00000000">
      <w:pPr>
        <w:pStyle w:val="Akapitzlist"/>
        <w:numPr>
          <w:ilvl w:val="1"/>
          <w:numId w:val="43"/>
        </w:numPr>
        <w:tabs>
          <w:tab w:val="left" w:pos="1088"/>
        </w:tabs>
        <w:spacing w:before="1"/>
        <w:ind w:hanging="578"/>
        <w:rPr>
          <w:sz w:val="18"/>
        </w:rPr>
      </w:pPr>
      <w:r>
        <w:rPr>
          <w:color w:val="F07D00"/>
          <w:sz w:val="18"/>
        </w:rPr>
        <w:t>Implementation of financial results forecasts</w:t>
      </w:r>
    </w:p>
    <w:p w14:paraId="4B54769D" w14:textId="77777777" w:rsidR="00E1198C" w:rsidRDefault="00E1198C">
      <w:pPr>
        <w:pStyle w:val="Tekstpodstawowy"/>
        <w:spacing w:before="134"/>
      </w:pPr>
    </w:p>
    <w:p w14:paraId="02573AD5" w14:textId="77777777" w:rsidR="00E1198C" w:rsidRDefault="00000000">
      <w:pPr>
        <w:pStyle w:val="Tekstpodstawowy"/>
        <w:ind w:left="510"/>
        <w:jc w:val="both"/>
      </w:pPr>
      <w:r>
        <w:rPr>
          <w:color w:val="231F20"/>
        </w:rPr>
        <w:t>The Company has not published forecast results for 2024.</w:t>
      </w:r>
    </w:p>
    <w:p w14:paraId="6778B007" w14:textId="77777777" w:rsidR="00E1198C" w:rsidRDefault="00E1198C">
      <w:pPr>
        <w:pStyle w:val="Tekstpodstawowy"/>
        <w:spacing w:before="56"/>
      </w:pPr>
    </w:p>
    <w:p w14:paraId="1C05F4A8" w14:textId="77777777" w:rsidR="00E1198C" w:rsidRDefault="00000000">
      <w:pPr>
        <w:pStyle w:val="Akapitzlist"/>
        <w:numPr>
          <w:ilvl w:val="1"/>
          <w:numId w:val="43"/>
        </w:numPr>
        <w:tabs>
          <w:tab w:val="left" w:pos="1088"/>
        </w:tabs>
        <w:ind w:hanging="578"/>
        <w:rPr>
          <w:sz w:val="18"/>
        </w:rPr>
      </w:pPr>
      <w:r>
        <w:rPr>
          <w:color w:val="F07D00"/>
          <w:sz w:val="18"/>
        </w:rPr>
        <w:t>Financial instruments</w:t>
      </w:r>
    </w:p>
    <w:p w14:paraId="2B87A208" w14:textId="77777777" w:rsidR="00E1198C" w:rsidRDefault="00E1198C">
      <w:pPr>
        <w:pStyle w:val="Tekstpodstawowy"/>
        <w:spacing w:before="123"/>
      </w:pPr>
    </w:p>
    <w:p w14:paraId="0D5FCDF3" w14:textId="77777777" w:rsidR="00E1198C" w:rsidRDefault="00000000">
      <w:pPr>
        <w:pStyle w:val="Tekstpodstawowy"/>
        <w:ind w:left="510"/>
      </w:pPr>
      <w:r>
        <w:t>The Company holds financial instruments (financial assets and financial liabilities):</w:t>
      </w:r>
    </w:p>
    <w:p w14:paraId="2F6C89DE" w14:textId="77777777" w:rsidR="00E1198C" w:rsidRDefault="00000000">
      <w:pPr>
        <w:pStyle w:val="Akapitzlist"/>
        <w:numPr>
          <w:ilvl w:val="0"/>
          <w:numId w:val="39"/>
        </w:numPr>
        <w:tabs>
          <w:tab w:val="left" w:pos="1570"/>
        </w:tabs>
        <w:spacing w:before="152"/>
        <w:ind w:left="1570" w:hanging="239"/>
        <w:rPr>
          <w:sz w:val="18"/>
        </w:rPr>
      </w:pPr>
      <w:r>
        <w:rPr>
          <w:sz w:val="18"/>
        </w:rPr>
        <w:t>Intended for marketing,</w:t>
      </w:r>
    </w:p>
    <w:p w14:paraId="71F1D207" w14:textId="77777777" w:rsidR="00E1198C" w:rsidRDefault="00000000">
      <w:pPr>
        <w:pStyle w:val="Akapitzlist"/>
        <w:numPr>
          <w:ilvl w:val="0"/>
          <w:numId w:val="39"/>
        </w:numPr>
        <w:tabs>
          <w:tab w:val="left" w:pos="1570"/>
        </w:tabs>
        <w:spacing w:before="162"/>
        <w:ind w:left="1570" w:hanging="239"/>
        <w:rPr>
          <w:sz w:val="18"/>
        </w:rPr>
      </w:pPr>
      <w:r>
        <w:rPr>
          <w:sz w:val="18"/>
        </w:rPr>
        <w:t>Held to maturity and</w:t>
      </w:r>
    </w:p>
    <w:p w14:paraId="65134237" w14:textId="77777777" w:rsidR="00E1198C" w:rsidRDefault="00000000">
      <w:pPr>
        <w:pStyle w:val="Akapitzlist"/>
        <w:numPr>
          <w:ilvl w:val="0"/>
          <w:numId w:val="39"/>
        </w:numPr>
        <w:tabs>
          <w:tab w:val="left" w:pos="1570"/>
        </w:tabs>
        <w:spacing w:before="152"/>
        <w:ind w:left="1570" w:hanging="239"/>
        <w:rPr>
          <w:sz w:val="18"/>
        </w:rPr>
      </w:pPr>
      <w:r>
        <w:rPr>
          <w:sz w:val="18"/>
        </w:rPr>
        <w:t>Available for sale.</w:t>
      </w:r>
    </w:p>
    <w:p w14:paraId="2EE01292" w14:textId="77777777" w:rsidR="00E1198C" w:rsidRDefault="00000000">
      <w:pPr>
        <w:pStyle w:val="Tekstpodstawowy"/>
        <w:spacing w:before="152"/>
        <w:ind w:left="510"/>
      </w:pPr>
      <w:r>
        <w:t>The Company classified financial assets and liabilities held for trading as financial liabilities:</w:t>
      </w:r>
    </w:p>
    <w:p w14:paraId="653535AA" w14:textId="77777777" w:rsidR="00E1198C" w:rsidRDefault="00E1198C">
      <w:pPr>
        <w:sectPr w:rsidR="00E1198C">
          <w:footerReference w:type="default" r:id="rId11"/>
          <w:pgSz w:w="11900" w:h="16840"/>
          <w:pgMar w:top="820" w:right="320" w:bottom="920" w:left="300" w:header="0" w:footer="726" w:gutter="0"/>
          <w:pgNumType w:start="16"/>
          <w:cols w:space="708"/>
        </w:sectPr>
      </w:pPr>
    </w:p>
    <w:p w14:paraId="4558B7AA" w14:textId="77777777" w:rsidR="00E1198C" w:rsidRDefault="00000000">
      <w:pPr>
        <w:pStyle w:val="Akapitzlist"/>
        <w:numPr>
          <w:ilvl w:val="0"/>
          <w:numId w:val="38"/>
        </w:numPr>
        <w:tabs>
          <w:tab w:val="left" w:pos="1570"/>
        </w:tabs>
        <w:spacing w:before="61"/>
        <w:ind w:left="1570" w:hanging="239"/>
        <w:rPr>
          <w:sz w:val="18"/>
        </w:rPr>
      </w:pPr>
      <w:r>
        <w:rPr>
          <w:sz w:val="18"/>
        </w:rPr>
        <w:lastRenderedPageBreak/>
        <w:t>Financial lease liabilities,</w:t>
      </w:r>
    </w:p>
    <w:p w14:paraId="778AC6BA" w14:textId="77777777" w:rsidR="00E1198C" w:rsidRDefault="00000000">
      <w:pPr>
        <w:pStyle w:val="Akapitzlist"/>
        <w:numPr>
          <w:ilvl w:val="0"/>
          <w:numId w:val="38"/>
        </w:numPr>
        <w:tabs>
          <w:tab w:val="left" w:pos="1570"/>
        </w:tabs>
        <w:spacing w:before="152"/>
        <w:ind w:left="1570" w:hanging="239"/>
        <w:rPr>
          <w:sz w:val="18"/>
        </w:rPr>
      </w:pPr>
      <w:r>
        <w:rPr>
          <w:sz w:val="18"/>
        </w:rPr>
        <w:t>Liabilities due to loans and borrowings.</w:t>
      </w:r>
    </w:p>
    <w:p w14:paraId="21F6C2D6" w14:textId="77777777" w:rsidR="00E1198C" w:rsidRDefault="00000000">
      <w:pPr>
        <w:pStyle w:val="Tekstpodstawowy"/>
        <w:spacing w:before="151" w:line="283" w:lineRule="auto"/>
        <w:ind w:left="510" w:right="480"/>
        <w:jc w:val="both"/>
      </w:pPr>
      <w:r>
        <w:t>The Company classified bank deposits and overdraft on the current account to the group of financial assets held to maturity date.</w:t>
      </w:r>
    </w:p>
    <w:p w14:paraId="129D4990" w14:textId="77777777" w:rsidR="00E1198C" w:rsidRDefault="00000000">
      <w:pPr>
        <w:pStyle w:val="Tekstpodstawowy"/>
        <w:spacing w:before="112" w:line="271" w:lineRule="auto"/>
        <w:ind w:left="510" w:right="477"/>
        <w:jc w:val="both"/>
      </w:pPr>
      <w:r>
        <w:t>The Company qualified its shares as well as cash (in hand, in banks, short-term bank deposits) to the group of financial assets available for sale.</w:t>
      </w:r>
    </w:p>
    <w:p w14:paraId="371BC72B" w14:textId="77777777" w:rsidR="00E1198C" w:rsidRDefault="00E1198C">
      <w:pPr>
        <w:pStyle w:val="Tekstpodstawowy"/>
        <w:spacing w:before="26"/>
      </w:pPr>
    </w:p>
    <w:p w14:paraId="3FB49CC1" w14:textId="77777777" w:rsidR="00E1198C" w:rsidRDefault="00000000">
      <w:pPr>
        <w:pStyle w:val="Akapitzlist"/>
        <w:numPr>
          <w:ilvl w:val="1"/>
          <w:numId w:val="43"/>
        </w:numPr>
        <w:tabs>
          <w:tab w:val="left" w:pos="1088"/>
        </w:tabs>
        <w:spacing w:before="1"/>
        <w:ind w:hanging="578"/>
        <w:rPr>
          <w:sz w:val="18"/>
        </w:rPr>
      </w:pPr>
      <w:r>
        <w:rPr>
          <w:color w:val="F07D00"/>
          <w:sz w:val="18"/>
        </w:rPr>
        <w:t>Loans and borrowings</w:t>
      </w:r>
    </w:p>
    <w:p w14:paraId="0EEE73AE" w14:textId="77777777" w:rsidR="00E1198C" w:rsidRDefault="00E1198C">
      <w:pPr>
        <w:pStyle w:val="Tekstpodstawowy"/>
        <w:spacing w:before="134"/>
      </w:pPr>
    </w:p>
    <w:p w14:paraId="6CD88C56" w14:textId="28002C18" w:rsidR="00E1198C" w:rsidRDefault="00000000">
      <w:pPr>
        <w:pStyle w:val="Tekstpodstawowy"/>
        <w:spacing w:line="273" w:lineRule="auto"/>
        <w:ind w:left="510" w:right="477"/>
        <w:jc w:val="both"/>
      </w:pPr>
      <w:r>
        <w:t>The Company continuously monitors risks related to the possibility of cash flow disruptions and liquidity risks. In order to minimize these risks, the Company maintains a safe level of cash and has a revolving credit line in the amount of PLN 18 million. The agreement on this facility was signed on December 12, 2024. The variable interest rate on the loan as at December 31, 2024 was 5.80% per annum. The fixed-term agreement ends in December 2026.</w:t>
      </w:r>
    </w:p>
    <w:p w14:paraId="4A8CACF0" w14:textId="77777777" w:rsidR="00E1198C" w:rsidRDefault="00000000">
      <w:pPr>
        <w:pStyle w:val="Tekstpodstawowy"/>
        <w:spacing w:before="123"/>
        <w:ind w:left="510"/>
      </w:pPr>
      <w:r>
        <w:t>The Company did not contract and did not terminate other loan or borrowing agreements in 2024.</w:t>
      </w:r>
    </w:p>
    <w:p w14:paraId="11D34A08" w14:textId="77777777" w:rsidR="00E1198C" w:rsidRDefault="00000000">
      <w:pPr>
        <w:pStyle w:val="Tekstpodstawowy"/>
        <w:spacing w:before="152"/>
        <w:ind w:left="510"/>
      </w:pPr>
      <w:r>
        <w:t>In 2024, the Company granted a loan to its associate Glatton in the amount of PLN 4.5 million and to an associate in Slovakia in</w:t>
      </w:r>
    </w:p>
    <w:p w14:paraId="71CBDC63" w14:textId="77777777" w:rsidR="00E1198C" w:rsidRDefault="00000000">
      <w:pPr>
        <w:pStyle w:val="Tekstpodstawowy"/>
        <w:spacing w:before="39"/>
        <w:ind w:left="510"/>
      </w:pPr>
      <w:r>
        <w:t>the amount of PLN 4.6 million. The loan has been granted to Glatton for a period of 3 years from the date of disbursement, and the interest calculated for the Polish currency</w:t>
      </w:r>
    </w:p>
    <w:p w14:paraId="34D2A6BF" w14:textId="77777777" w:rsidR="00E1198C" w:rsidRDefault="00000000">
      <w:pPr>
        <w:pStyle w:val="Tekstpodstawowy"/>
        <w:spacing w:before="28" w:line="278" w:lineRule="auto"/>
        <w:ind w:left="510" w:right="478"/>
        <w:jc w:val="both"/>
      </w:pPr>
      <w:r>
        <w:t xml:space="preserve">takes into account </w:t>
      </w:r>
      <w:proofErr w:type="spellStart"/>
      <w:r>
        <w:t>WIBOR</w:t>
      </w:r>
      <w:proofErr w:type="spellEnd"/>
      <w:r>
        <w:t xml:space="preserve"> 1M plus a 2% margin calculated based on the actual number of days from the date of disbursement. The loan to the company in Slovakia was granted for a period of 3 years from the date of granting the total amount of EUR 4 million or 5 years from the date of conclusion of the agreement, and the calculated interest takes into account Euribor 1M plus a 2% margin. All loans granted are unsecured and have a repayment date in 2027 and are presented in long-term financial assets.</w:t>
      </w:r>
    </w:p>
    <w:p w14:paraId="1053ACB4" w14:textId="77777777" w:rsidR="00E1198C" w:rsidRDefault="00E1198C">
      <w:pPr>
        <w:pStyle w:val="Tekstpodstawowy"/>
        <w:spacing w:before="10"/>
      </w:pPr>
    </w:p>
    <w:p w14:paraId="75153B85" w14:textId="77777777" w:rsidR="00E1198C" w:rsidRDefault="00000000">
      <w:pPr>
        <w:pStyle w:val="Akapitzlist"/>
        <w:numPr>
          <w:ilvl w:val="1"/>
          <w:numId w:val="43"/>
        </w:numPr>
        <w:tabs>
          <w:tab w:val="left" w:pos="1088"/>
        </w:tabs>
        <w:ind w:hanging="578"/>
        <w:rPr>
          <w:sz w:val="18"/>
        </w:rPr>
      </w:pPr>
      <w:r>
        <w:rPr>
          <w:color w:val="F07D00"/>
          <w:sz w:val="18"/>
        </w:rPr>
        <w:t>Sureties and guarantees</w:t>
      </w:r>
      <w:r>
        <w:rPr>
          <w:color w:val="F07D00"/>
          <w:sz w:val="18"/>
        </w:rPr>
        <w:tab/>
      </w:r>
    </w:p>
    <w:p w14:paraId="4A995E1E" w14:textId="77777777" w:rsidR="00E1198C" w:rsidRDefault="00E1198C">
      <w:pPr>
        <w:pStyle w:val="Tekstpodstawowy"/>
        <w:spacing w:before="134"/>
      </w:pPr>
    </w:p>
    <w:p w14:paraId="78BC8807" w14:textId="77777777" w:rsidR="00E1198C" w:rsidRDefault="00000000">
      <w:pPr>
        <w:pStyle w:val="Tekstpodstawowy"/>
        <w:ind w:left="510"/>
        <w:jc w:val="both"/>
      </w:pPr>
      <w:r>
        <w:t>In 2024, the Company did not provide or receive any sureties or guarantees.</w:t>
      </w:r>
    </w:p>
    <w:p w14:paraId="73BB5A4B" w14:textId="77777777" w:rsidR="00E1198C" w:rsidRDefault="00E1198C">
      <w:pPr>
        <w:pStyle w:val="Tekstpodstawowy"/>
        <w:spacing w:before="56"/>
      </w:pPr>
    </w:p>
    <w:p w14:paraId="7583E2DC" w14:textId="77777777" w:rsidR="00E1198C" w:rsidRDefault="00000000">
      <w:pPr>
        <w:pStyle w:val="Akapitzlist"/>
        <w:numPr>
          <w:ilvl w:val="1"/>
          <w:numId w:val="43"/>
        </w:numPr>
        <w:tabs>
          <w:tab w:val="left" w:pos="1088"/>
        </w:tabs>
        <w:ind w:hanging="578"/>
        <w:rPr>
          <w:sz w:val="18"/>
        </w:rPr>
      </w:pPr>
      <w:r>
        <w:rPr>
          <w:color w:val="F07D00"/>
          <w:sz w:val="18"/>
        </w:rPr>
        <w:t>Transactions with affiliates</w:t>
      </w:r>
    </w:p>
    <w:p w14:paraId="5FA2F640" w14:textId="77777777" w:rsidR="00E1198C" w:rsidRDefault="00E1198C">
      <w:pPr>
        <w:pStyle w:val="Tekstpodstawowy"/>
        <w:spacing w:before="123"/>
      </w:pPr>
    </w:p>
    <w:p w14:paraId="09CDD77C" w14:textId="77777777" w:rsidR="00E1198C" w:rsidRDefault="00000000">
      <w:pPr>
        <w:pStyle w:val="Tekstpodstawowy"/>
        <w:spacing w:line="283" w:lineRule="auto"/>
        <w:ind w:left="510"/>
      </w:pPr>
      <w:r>
        <w:t xml:space="preserve">In 2024, Celon Pharma </w:t>
      </w:r>
      <w:proofErr w:type="spellStart"/>
      <w:r>
        <w:t>S.A.did</w:t>
      </w:r>
      <w:proofErr w:type="spellEnd"/>
      <w:r>
        <w:t xml:space="preserve"> not conclude transactions with affiliates on conditions other than market conditions. Details of transactions with affiliates were disclosed in the financial statements for the year ended December 31, 2024, note 27.5.</w:t>
      </w:r>
    </w:p>
    <w:p w14:paraId="38D0688B" w14:textId="77777777" w:rsidR="00E1198C" w:rsidRDefault="00E1198C">
      <w:pPr>
        <w:pStyle w:val="Tekstpodstawowy"/>
        <w:spacing w:before="16"/>
      </w:pPr>
    </w:p>
    <w:p w14:paraId="2E4774B0" w14:textId="77777777" w:rsidR="00E1198C" w:rsidRDefault="00000000">
      <w:pPr>
        <w:pStyle w:val="Akapitzlist"/>
        <w:numPr>
          <w:ilvl w:val="1"/>
          <w:numId w:val="43"/>
        </w:numPr>
        <w:tabs>
          <w:tab w:val="left" w:pos="1088"/>
        </w:tabs>
        <w:ind w:hanging="578"/>
        <w:rPr>
          <w:sz w:val="18"/>
        </w:rPr>
      </w:pPr>
      <w:r>
        <w:rPr>
          <w:color w:val="F07D00"/>
          <w:sz w:val="18"/>
        </w:rPr>
        <w:t xml:space="preserve">Issue of securities </w:t>
      </w:r>
    </w:p>
    <w:p w14:paraId="065455C3" w14:textId="77777777" w:rsidR="00E1198C" w:rsidRDefault="00E1198C">
      <w:pPr>
        <w:pStyle w:val="Tekstpodstawowy"/>
        <w:spacing w:before="116"/>
      </w:pPr>
    </w:p>
    <w:p w14:paraId="6C6ADACD" w14:textId="77777777" w:rsidR="00E1198C" w:rsidRDefault="00000000">
      <w:pPr>
        <w:pStyle w:val="Nagwek5"/>
        <w:jc w:val="both"/>
      </w:pPr>
      <w:r>
        <w:rPr>
          <w:color w:val="F07D00"/>
        </w:rPr>
        <w:t>Issue of E-series shares</w:t>
      </w:r>
    </w:p>
    <w:p w14:paraId="5A58D6D1" w14:textId="29A85E13" w:rsidR="00E1198C" w:rsidRDefault="00000000" w:rsidP="00650FD4">
      <w:pPr>
        <w:pStyle w:val="Tekstpodstawowy"/>
        <w:spacing w:before="158"/>
        <w:ind w:left="510" w:right="484"/>
        <w:jc w:val="both"/>
      </w:pPr>
      <w:r>
        <w:t>On August 6, 2024 the District Court for the Capital City of Warsaw in Warsaw, 14th Commercial Division of the National Court Register registered the increase of the share capital of Celon Pharma S.A. the amount of PLN 270,000 and the amendment to the Company's Articles of Association.</w:t>
      </w:r>
    </w:p>
    <w:p w14:paraId="1D3602F1" w14:textId="3B2DD213" w:rsidR="00E1198C" w:rsidRDefault="00000000" w:rsidP="00650FD4">
      <w:pPr>
        <w:pStyle w:val="Tekstpodstawowy"/>
        <w:spacing w:before="122"/>
        <w:ind w:left="510" w:right="482"/>
        <w:jc w:val="both"/>
      </w:pPr>
      <w:r>
        <w:t>The increase was implemented through the issue of 2,700,000 ordinary E-series bearer shares with a nominal value of PLN 0.10 each, with exclusion of share subscription rights within the meaning of Article 431 § 2 point 1 of the Commercial Companies Code carried out as part of an offering addressed to an individually specified entity – Tang Capital Partners, LP (see point2.2).</w:t>
      </w:r>
    </w:p>
    <w:p w14:paraId="3C1BAA6C" w14:textId="77777777" w:rsidR="00E1198C" w:rsidRDefault="00000000" w:rsidP="00650FD4">
      <w:pPr>
        <w:pStyle w:val="Tekstpodstawowy"/>
        <w:spacing w:before="120"/>
        <w:ind w:left="510" w:right="481"/>
        <w:jc w:val="both"/>
      </w:pPr>
      <w:r>
        <w:t>The amendment to the Articles of Association of the Company, made pursuant to Resolution No. 19 of the Ordinary General Meeting of the Company of June 21, 2024, consisted in giving a new wording to § 8 subs. 1 on the amount of share capital, as well as repealing § 8b referring to authorized capital.</w:t>
      </w:r>
    </w:p>
    <w:p w14:paraId="0C65C708" w14:textId="358FE23B" w:rsidR="00E1198C" w:rsidRDefault="00000000" w:rsidP="00650FD4">
      <w:pPr>
        <w:pStyle w:val="Tekstpodstawowy"/>
        <w:spacing w:before="120"/>
        <w:ind w:left="510" w:right="485"/>
        <w:jc w:val="both"/>
      </w:pPr>
      <w:r>
        <w:t>Then, on August 21, 2024 the Central Securities Depository of Poland has issued a statement on the conclusion of an agreement with the Company to register with the securities depository 2,700,000 ordinary E-series bearer shares with a nominal value of PLN 0.10 each. According to the statement, registration of the aforementioned shares, under the new code SIN - PLCLNPH00098, took place on August 26, 2024.</w:t>
      </w:r>
    </w:p>
    <w:p w14:paraId="3791308F" w14:textId="6BE6C50D" w:rsidR="00E1198C" w:rsidRDefault="00000000" w:rsidP="00650FD4">
      <w:pPr>
        <w:pStyle w:val="Tekstpodstawowy"/>
        <w:spacing w:before="119"/>
        <w:ind w:left="510"/>
      </w:pPr>
      <w:r>
        <w:t>The Company announced the above in current reports No. No. 18/2024 and 21/2024.</w:t>
      </w:r>
    </w:p>
    <w:p w14:paraId="5800AFB2" w14:textId="77777777" w:rsidR="00E1198C" w:rsidRDefault="00E1198C">
      <w:pPr>
        <w:pStyle w:val="Tekstpodstawowy"/>
        <w:spacing w:before="49"/>
      </w:pPr>
    </w:p>
    <w:p w14:paraId="2D612006" w14:textId="77777777" w:rsidR="00E1198C" w:rsidRDefault="00000000">
      <w:pPr>
        <w:pStyle w:val="Nagwek5"/>
      </w:pPr>
      <w:r>
        <w:rPr>
          <w:color w:val="F07D00"/>
        </w:rPr>
        <w:t>Allocation of C-series shares in exchange for the Company's A-series subscription warrants</w:t>
      </w:r>
    </w:p>
    <w:p w14:paraId="0216504A" w14:textId="38827FFC" w:rsidR="00E1198C" w:rsidRDefault="00000000">
      <w:pPr>
        <w:spacing w:before="146" w:line="278" w:lineRule="auto"/>
        <w:ind w:left="510" w:right="473"/>
        <w:jc w:val="both"/>
        <w:rPr>
          <w:i/>
          <w:sz w:val="18"/>
        </w:rPr>
      </w:pPr>
      <w:r>
        <w:rPr>
          <w:sz w:val="18"/>
        </w:rPr>
        <w:t>At the end of June 2024, the Management Board of the Company adopted a  resolution on the allocation of a total of 100,000 A-series subscription warrants (“Warrants”) under the Incentive Program for the Company’s Officers for the year 2024. Each Warrant entitled its holder to subscribe for 1 C-series share of the Company at the issue price of PLN 0.10 per share. The Warrants were issued on the basis of Resolution No. 7/2021 of the Extraordinary General Meeting of the Company of February 16, 2021 on the issue, for the purpose of implementing Incentive Programs for Members of the Management Board and other persons of key importance to the Company, of A-series subscription warrants with exclusion of share subscription rights of existing shareholders,</w:t>
      </w:r>
    </w:p>
    <w:p w14:paraId="2D12CCA6" w14:textId="77777777" w:rsidR="00E1198C" w:rsidRDefault="00E1198C">
      <w:pPr>
        <w:spacing w:line="278" w:lineRule="auto"/>
        <w:jc w:val="both"/>
        <w:rPr>
          <w:sz w:val="18"/>
        </w:rPr>
        <w:sectPr w:rsidR="00E1198C">
          <w:pgSz w:w="11900" w:h="16840"/>
          <w:pgMar w:top="820" w:right="320" w:bottom="920" w:left="300" w:header="0" w:footer="726" w:gutter="0"/>
          <w:cols w:space="708"/>
        </w:sectPr>
      </w:pPr>
    </w:p>
    <w:p w14:paraId="4541C4C3" w14:textId="77777777" w:rsidR="00E1198C" w:rsidRDefault="00000000">
      <w:pPr>
        <w:spacing w:before="44" w:line="276" w:lineRule="auto"/>
        <w:ind w:left="510" w:right="476"/>
        <w:jc w:val="both"/>
        <w:rPr>
          <w:sz w:val="18"/>
        </w:rPr>
      </w:pPr>
      <w:r>
        <w:rPr>
          <w:sz w:val="18"/>
        </w:rPr>
        <w:lastRenderedPageBreak/>
        <w:t>entitling them to subscribe for C-series shares and a conditional increase of the share capital through the issue of C-series shares with exclusion of share subscription rights of existing shareholders and an amendment to the Company's Articles of Association related thereto. The allocation of Warrants was made on the basis of Resolution No. 6 adopted by the Extraordinary General Meeting of the Company of February 16, 2021 on the introduction of Incentive Programs for Members of the Management Board and other persons of key importance to the Company and on the basis of the Regulations of the Incentive Program for the Members of the Management Board for the years 2021-2030 in Celon Pharma S.A. (see current report No. 44/2021), in connection with the approval of fulfilling the officers' objectives determined in accordance with the provisions of the aforementioned Regulations.</w:t>
      </w:r>
    </w:p>
    <w:p w14:paraId="07265020" w14:textId="77777777" w:rsidR="00E1198C" w:rsidRDefault="00000000">
      <w:pPr>
        <w:pStyle w:val="Tekstpodstawowy"/>
        <w:spacing w:before="113" w:line="278" w:lineRule="auto"/>
        <w:ind w:left="510" w:right="475"/>
        <w:jc w:val="both"/>
      </w:pPr>
      <w:r>
        <w:t>During the reporting period, 100,000 Series C shares of the Company, with a nominal value of PLN 0.10 each, were also registered in the securities account of the entitled person, subscribed under the conditional increase of the Company's share capital in exchange for Series A subscription warrants under the Incentive Program (information on the allocation of warrants was published in current report no. 16/2024). With the granting of the aforementioned shares, in accordance with Article 452 § 1 of the Commercial Companies Code, the rights from the shares were acquired and the Company's share capital was increased by the amount of PLN 10,000 (current report no. 20/2024 dated August 20, 2024). Pursuant to Article 452 § 4 of the Commercial Companies Code, the Management Board of the Company submitted a motion to the registration court to update the entry on the Company’s share capital.</w:t>
      </w:r>
    </w:p>
    <w:p w14:paraId="63DC8296" w14:textId="77777777" w:rsidR="00E1198C" w:rsidRDefault="00000000">
      <w:pPr>
        <w:pStyle w:val="Nagwek5"/>
        <w:spacing w:before="219"/>
        <w:jc w:val="both"/>
      </w:pPr>
      <w:r>
        <w:rPr>
          <w:color w:val="F07D00"/>
        </w:rPr>
        <w:t>Introduction of 2,700,000 E-series shares and 100,000 C-series shares of the Company to stock exchange trading</w:t>
      </w:r>
    </w:p>
    <w:p w14:paraId="6A1E068B" w14:textId="0174C303" w:rsidR="00E1198C" w:rsidRDefault="00000000" w:rsidP="00650FD4">
      <w:pPr>
        <w:pStyle w:val="Tekstpodstawowy"/>
        <w:spacing w:before="158"/>
        <w:ind w:left="510" w:right="507"/>
        <w:jc w:val="both"/>
      </w:pPr>
      <w:r>
        <w:t>On September 12, 2024 the Management Board of the Warsaw Stock Exchange (“GPW”) has adopted a resolution concerning the admission and introduction of the Company’s ordinary C-series and E-series bearer shares to stock exchange trading on the GPW Main Market List.</w:t>
      </w:r>
    </w:p>
    <w:p w14:paraId="1CEE0540" w14:textId="77777777" w:rsidR="00E1198C" w:rsidRDefault="00000000" w:rsidP="00650FD4">
      <w:pPr>
        <w:pStyle w:val="Tekstpodstawowy"/>
        <w:spacing w:before="151"/>
        <w:ind w:left="510" w:right="473"/>
        <w:jc w:val="both"/>
      </w:pPr>
      <w:r>
        <w:t>In its resolution, the Management Board of the GPW stated that pursuant to § 19 subs.1 and 2 of the WSE Rules, 100,000 ordinary C-series bearer shares of the Company, with the nominal value of PLN 0.10 each, designated with the “PLCLNPH00080” code by the Central Securities Depository of Poland and 2,700,000 ordinary E-series bearer shares of the Company, with the nominal value of PLN 0.10 each, designated with the „PLCLNPH00098” code by the Central Securities Depository of Poland, are admitted to stock exchange trading on the primary market.</w:t>
      </w:r>
    </w:p>
    <w:p w14:paraId="724C1A4D" w14:textId="77777777" w:rsidR="00E1198C" w:rsidRDefault="00000000" w:rsidP="00650FD4">
      <w:pPr>
        <w:pStyle w:val="Tekstpodstawowy"/>
        <w:spacing w:before="117"/>
        <w:ind w:left="510" w:right="481"/>
        <w:jc w:val="both"/>
      </w:pPr>
      <w:r>
        <w:t>The GPW Management Board decided to introduce the above-mentioned shares of the Company to trading on the primary market as of September 23, 2024, subject to the assimilation of these shares with the shares in the exchange trade, designated with the “PLCLNPH00015” code, by the Central Securities Depository of Poland on September 23, 2024.</w:t>
      </w:r>
    </w:p>
    <w:p w14:paraId="6C99E2B2" w14:textId="165B9D8C" w:rsidR="00E1198C" w:rsidRDefault="00000000" w:rsidP="00650FD4">
      <w:pPr>
        <w:pStyle w:val="Tekstpodstawowy"/>
        <w:spacing w:before="120"/>
        <w:ind w:left="510" w:right="476"/>
        <w:jc w:val="both"/>
      </w:pPr>
      <w:r>
        <w:t>On September 13, 2024, the Central Securities Depository of Poland issued a statement indicating that it has decided to assimilate 100,000 ordinary C-series bearer shares, registered under the ISIN PLCLNPH00080 code and 2,700,000 ordinary E-series bearer shares of the Company, designated with the ISIN PLCLNPH00098 code with the Company’s shares currently traded in the stock exchange, registered under the PLCLNPH00015 code. Therefore, the condition for the introduction of the aforementioned shares to trading on the primary market as of September 23, 2024, specified in the above-mentioned Resolution of the Management Board of the Warsaw Stock Exchange S.A., was met.</w:t>
      </w:r>
    </w:p>
    <w:p w14:paraId="669AC810" w14:textId="53B7C68B" w:rsidR="00E1198C" w:rsidRDefault="00000000" w:rsidP="00650FD4">
      <w:pPr>
        <w:pStyle w:val="Tekstpodstawowy"/>
        <w:spacing w:before="116"/>
        <w:ind w:left="510"/>
        <w:jc w:val="both"/>
      </w:pPr>
      <w:r>
        <w:t>The Company announced the above in current reports No. 22/2024 and 23/2024.</w:t>
      </w:r>
    </w:p>
    <w:p w14:paraId="5AFA0253" w14:textId="77777777" w:rsidR="00E1198C" w:rsidRDefault="00E1198C">
      <w:pPr>
        <w:pStyle w:val="Tekstpodstawowy"/>
        <w:spacing w:before="55"/>
      </w:pPr>
    </w:p>
    <w:p w14:paraId="4438154D" w14:textId="77777777" w:rsidR="00E1198C" w:rsidRDefault="00000000">
      <w:pPr>
        <w:pStyle w:val="Akapitzlist"/>
        <w:numPr>
          <w:ilvl w:val="1"/>
          <w:numId w:val="43"/>
        </w:numPr>
        <w:tabs>
          <w:tab w:val="left" w:pos="1087"/>
        </w:tabs>
        <w:ind w:left="1087" w:hanging="577"/>
        <w:jc w:val="both"/>
        <w:rPr>
          <w:sz w:val="18"/>
        </w:rPr>
      </w:pPr>
      <w:r>
        <w:rPr>
          <w:color w:val="F07D00"/>
          <w:sz w:val="18"/>
        </w:rPr>
        <w:t>Dividends</w:t>
      </w:r>
    </w:p>
    <w:p w14:paraId="3695FB12" w14:textId="77777777" w:rsidR="00E1198C" w:rsidRDefault="00E1198C">
      <w:pPr>
        <w:pStyle w:val="Tekstpodstawowy"/>
        <w:spacing w:before="135"/>
      </w:pPr>
    </w:p>
    <w:p w14:paraId="32CDC20C" w14:textId="77C5036F" w:rsidR="00E1198C" w:rsidRDefault="00000000" w:rsidP="00650FD4">
      <w:pPr>
        <w:pStyle w:val="Tekstpodstawowy"/>
        <w:ind w:left="510" w:right="477"/>
        <w:jc w:val="both"/>
      </w:pPr>
      <w:r>
        <w:t>On May 23, 2024, the Company's Management Board adopted a resolution on a recommendation for the Ordinary General Meeting on payment of the dividend. The Management Board recommended the Company to pay out the dividend in the amount of PLN 0.08 (eight groszy) per one share, i.e. PLN 4,084,520.00 in total for all shares in the Company, whereas the amount of the recommended dividend pursuant to the recommendation, was to be paid out from the part of the Company's supplementary capital which was created from the profit generated in the previous years and complies with the requirements of Article 348 of the Commercial Companies Code. The Management Board recommended June 28, 2024 as the dividend record date, and recommends that the dividend be paid out on July 4, 2024. In relation to the occurrence of the Company’s net loss for 2023 in the amount of in PLN 28,124,219.91, the Management Board recommended the General Meeting that the mentioned loss be covered by the part of the Company’s supplementary capital created from the share premium.</w:t>
      </w:r>
    </w:p>
    <w:p w14:paraId="1A9A1E67" w14:textId="77777777" w:rsidR="00E1198C" w:rsidRDefault="00000000" w:rsidP="00650FD4">
      <w:pPr>
        <w:pStyle w:val="Tekstpodstawowy"/>
        <w:spacing w:before="122"/>
        <w:ind w:left="510" w:right="481"/>
        <w:jc w:val="both"/>
      </w:pPr>
      <w:r>
        <w:t>On May 24, 2024, the Supervisory Board of the Company gave a positive opinion on the recommendation of the Management Board of Celon Pharma S.A. for the Ordinary General Meeting of the Company on payment of the dividend.</w:t>
      </w:r>
    </w:p>
    <w:p w14:paraId="258D194E" w14:textId="111CECBB" w:rsidR="00E1198C" w:rsidRDefault="00000000" w:rsidP="00650FD4">
      <w:pPr>
        <w:pStyle w:val="Tekstpodstawowy"/>
        <w:spacing w:before="122"/>
        <w:ind w:left="510" w:right="481"/>
        <w:jc w:val="both"/>
      </w:pPr>
      <w:r>
        <w:t>The Ordinary General Meeting of the Company held on June 21, 2024 adopted a resolution on coverage of loss and payment of the dividend for the financial year 2023. The Ordinary General Meeting has decided that:</w:t>
      </w:r>
    </w:p>
    <w:p w14:paraId="31108E8B" w14:textId="1DB26F0B" w:rsidR="00E1198C" w:rsidRDefault="00000000" w:rsidP="00650FD4">
      <w:pPr>
        <w:pStyle w:val="Akapitzlist"/>
        <w:numPr>
          <w:ilvl w:val="0"/>
          <w:numId w:val="37"/>
        </w:numPr>
        <w:tabs>
          <w:tab w:val="left" w:pos="689"/>
        </w:tabs>
        <w:spacing w:before="112"/>
        <w:ind w:right="477" w:firstLine="0"/>
        <w:jc w:val="both"/>
        <w:rPr>
          <w:sz w:val="18"/>
        </w:rPr>
      </w:pPr>
      <w:r>
        <w:rPr>
          <w:sz w:val="18"/>
        </w:rPr>
        <w:t>the Company's net loss for the financial year starting on January 1, 2023 and ending on December 31, 2023 in the amount of PLN 28,124 thousand will be covered by the part of the Company’s supplementary capital created from the share premium;</w:t>
      </w:r>
    </w:p>
    <w:p w14:paraId="63392FBA" w14:textId="615AB9CF" w:rsidR="00E1198C" w:rsidRDefault="00000000" w:rsidP="00650FD4">
      <w:pPr>
        <w:pStyle w:val="Akapitzlist"/>
        <w:numPr>
          <w:ilvl w:val="0"/>
          <w:numId w:val="37"/>
        </w:numPr>
        <w:tabs>
          <w:tab w:val="left" w:pos="709"/>
        </w:tabs>
        <w:spacing w:before="119"/>
        <w:ind w:right="479" w:firstLine="0"/>
        <w:jc w:val="both"/>
        <w:rPr>
          <w:sz w:val="18"/>
        </w:rPr>
      </w:pPr>
      <w:r>
        <w:rPr>
          <w:sz w:val="18"/>
        </w:rPr>
        <w:t>the Company will pay out the dividend in the amount of PLN 0.08 per one share, which amounts to a total of PLN 4,084,520.00, whereas the amount of the recommended dividend will be paid out from the part of the Company's supplementary capital created from the profit generated in the previous years and complies with the requirements of Article 348 of the Commercial Companies Code.</w:t>
      </w:r>
    </w:p>
    <w:p w14:paraId="23E8EC7B" w14:textId="7097189B" w:rsidR="00E1198C" w:rsidRDefault="00000000" w:rsidP="00650FD4">
      <w:pPr>
        <w:pStyle w:val="Tekstpodstawowy"/>
        <w:spacing w:before="120"/>
        <w:ind w:left="510" w:right="475"/>
        <w:jc w:val="both"/>
      </w:pPr>
      <w:r>
        <w:t>51,056,500 shares in the Company were covered by the dividend. June 28, 2024 was set as the dividend record date, and the dividend is to be paid out on July 4, 2024.</w:t>
      </w:r>
    </w:p>
    <w:p w14:paraId="39C4F277" w14:textId="60878F5F" w:rsidR="00E1198C" w:rsidRPr="000934DB" w:rsidRDefault="00000000" w:rsidP="000934DB">
      <w:pPr>
        <w:pStyle w:val="Tekstpodstawowy"/>
        <w:spacing w:before="122"/>
        <w:ind w:left="510" w:right="507"/>
        <w:jc w:val="both"/>
        <w:rPr>
          <w:spacing w:val="-10"/>
        </w:rPr>
      </w:pPr>
      <w:r>
        <w:t>The Company informed of the above events in current reports No. 5/2024 dated May 23, 2024, No. 7/2024 of May 24, 2024 and No. 12/2024 dated June 21, 2024.</w:t>
      </w:r>
    </w:p>
    <w:p w14:paraId="53969985" w14:textId="77777777" w:rsidR="00E1198C" w:rsidRDefault="00E1198C">
      <w:pPr>
        <w:jc w:val="both"/>
        <w:sectPr w:rsidR="00E1198C">
          <w:pgSz w:w="11900" w:h="16840"/>
          <w:pgMar w:top="840" w:right="320" w:bottom="920" w:left="300" w:header="0" w:footer="726" w:gutter="0"/>
          <w:cols w:space="708"/>
        </w:sectPr>
      </w:pPr>
    </w:p>
    <w:p w14:paraId="4A29815A" w14:textId="77777777" w:rsidR="00E1198C" w:rsidRDefault="00E1198C">
      <w:pPr>
        <w:pStyle w:val="Tekstpodstawowy"/>
        <w:spacing w:before="56"/>
      </w:pPr>
    </w:p>
    <w:p w14:paraId="35542A2B" w14:textId="77777777" w:rsidR="00E1198C" w:rsidRDefault="00000000">
      <w:pPr>
        <w:pStyle w:val="Akapitzlist"/>
        <w:numPr>
          <w:ilvl w:val="1"/>
          <w:numId w:val="43"/>
        </w:numPr>
        <w:tabs>
          <w:tab w:val="left" w:pos="1088"/>
        </w:tabs>
        <w:ind w:hanging="578"/>
        <w:rPr>
          <w:sz w:val="18"/>
        </w:rPr>
      </w:pPr>
      <w:r>
        <w:rPr>
          <w:color w:val="F07D00"/>
          <w:sz w:val="18"/>
        </w:rPr>
        <w:t>Assessment of financial resource management</w:t>
      </w:r>
    </w:p>
    <w:p w14:paraId="78E2909B" w14:textId="77777777" w:rsidR="00E1198C" w:rsidRDefault="00E1198C">
      <w:pPr>
        <w:pStyle w:val="Tekstpodstawowy"/>
        <w:spacing w:before="123"/>
      </w:pPr>
    </w:p>
    <w:p w14:paraId="26D2741C" w14:textId="77777777" w:rsidR="00E1198C" w:rsidRDefault="00000000">
      <w:pPr>
        <w:pStyle w:val="Tekstpodstawowy"/>
        <w:spacing w:line="283" w:lineRule="auto"/>
        <w:ind w:left="510"/>
      </w:pPr>
      <w:r>
        <w:t>In the opinion of the Management Board of the Company, the method of managing the Company’s financial resources is correct and rational. The management of financial resources takes into account both the Company's current needs of the Company and the implementation of the development strategy adopted by the Company.</w:t>
      </w:r>
    </w:p>
    <w:p w14:paraId="72BD1BED" w14:textId="77777777" w:rsidR="00E1198C" w:rsidRDefault="00000000">
      <w:pPr>
        <w:pStyle w:val="Tekstpodstawowy"/>
        <w:spacing w:before="112"/>
        <w:ind w:left="510"/>
      </w:pPr>
      <w:r>
        <w:t>Currently no circumstances that could jeopardize the Company’s ability to meet its obligations have  been identified.</w:t>
      </w:r>
    </w:p>
    <w:p w14:paraId="5BE5576B" w14:textId="77777777" w:rsidR="00E1198C" w:rsidRDefault="00E1198C">
      <w:pPr>
        <w:pStyle w:val="Tekstpodstawowy"/>
        <w:spacing w:before="55"/>
      </w:pPr>
    </w:p>
    <w:p w14:paraId="08579BAF" w14:textId="77777777" w:rsidR="00E1198C" w:rsidRDefault="00000000">
      <w:pPr>
        <w:pStyle w:val="Akapitzlist"/>
        <w:numPr>
          <w:ilvl w:val="0"/>
          <w:numId w:val="43"/>
        </w:numPr>
        <w:tabs>
          <w:tab w:val="left" w:pos="942"/>
        </w:tabs>
        <w:ind w:hanging="432"/>
        <w:rPr>
          <w:sz w:val="18"/>
        </w:rPr>
      </w:pPr>
      <w:r>
        <w:rPr>
          <w:color w:val="F5811F"/>
          <w:sz w:val="18"/>
        </w:rPr>
        <w:t>Strategy and development prospects of Celon Pharma S.A.</w:t>
      </w:r>
    </w:p>
    <w:p w14:paraId="23FC4D10" w14:textId="77777777" w:rsidR="00E1198C" w:rsidRDefault="00E1198C">
      <w:pPr>
        <w:pStyle w:val="Tekstpodstawowy"/>
        <w:spacing w:before="56"/>
      </w:pPr>
    </w:p>
    <w:p w14:paraId="2125130A" w14:textId="77777777" w:rsidR="00E1198C" w:rsidRDefault="00000000">
      <w:pPr>
        <w:pStyle w:val="Akapitzlist"/>
        <w:numPr>
          <w:ilvl w:val="1"/>
          <w:numId w:val="43"/>
        </w:numPr>
        <w:tabs>
          <w:tab w:val="left" w:pos="1088"/>
        </w:tabs>
        <w:ind w:hanging="578"/>
        <w:rPr>
          <w:sz w:val="18"/>
        </w:rPr>
      </w:pPr>
      <w:r>
        <w:rPr>
          <w:color w:val="F07D00"/>
          <w:sz w:val="18"/>
        </w:rPr>
        <w:t xml:space="preserve">Assumptions of the Company’s development strategy and its implementation in 2024 </w:t>
      </w:r>
    </w:p>
    <w:p w14:paraId="26583143" w14:textId="77777777" w:rsidR="00E1198C" w:rsidRDefault="00E1198C">
      <w:pPr>
        <w:pStyle w:val="Tekstpodstawowy"/>
        <w:spacing w:before="123"/>
      </w:pPr>
    </w:p>
    <w:p w14:paraId="2066ADE2" w14:textId="77777777" w:rsidR="00E1198C" w:rsidRDefault="00000000">
      <w:pPr>
        <w:pStyle w:val="Tekstpodstawowy"/>
        <w:spacing w:line="276" w:lineRule="auto"/>
        <w:ind w:left="510" w:right="477"/>
        <w:jc w:val="both"/>
      </w:pPr>
      <w:r>
        <w:t>The aim of the Company is to achieve a leading position among companies from Central and Eastern Europe in terms of the largest and attractive portfolio of innovative drug programs and the value of revenues from licensing and commercialization of innovative drugs. To achieve this goal, the Company intends to implement the following strategy:</w:t>
      </w:r>
    </w:p>
    <w:p w14:paraId="1E298913" w14:textId="77777777" w:rsidR="00E1198C" w:rsidRDefault="00000000">
      <w:pPr>
        <w:pStyle w:val="Tekstpodstawowy"/>
        <w:spacing w:before="120"/>
        <w:ind w:left="510"/>
        <w:jc w:val="both"/>
      </w:pPr>
      <w:r>
        <w:t>Development of new innovative pharmaceutical drugs in large, rapidly growing therapeutic markets</w:t>
      </w:r>
    </w:p>
    <w:p w14:paraId="3A7C6CCD" w14:textId="77777777" w:rsidR="00E1198C" w:rsidRDefault="00000000">
      <w:pPr>
        <w:pStyle w:val="Tekstpodstawowy"/>
        <w:spacing w:before="152" w:line="276" w:lineRule="auto"/>
        <w:ind w:left="510" w:right="473"/>
        <w:jc w:val="both"/>
      </w:pPr>
      <w:r>
        <w:t>The Company expects that the Company’s new projects involving various innovative drugs will bring significant improvements in the treatment of many diseases associated with significant unmet medical needs. In the opinion of the Company, four main therapeutic areas of its research activity, i.e. neuropsychiatry, oncology, inflammatory diseases and metabolism, give the Company the opportunity to meet unmet medical needs. Over the last decade, the Company has systematically increased its research capabilities, which allowed it to build one of the largest research portfolios in Central and Eastern Europe, consisting of over a dozen projects, 5 of which are in the clinical phase. Some molecules are developed towards addressing more than one indication. The development of each of these projects continued in 2023, recording progress measured by the performance indicators adopted for each project.</w:t>
      </w:r>
    </w:p>
    <w:p w14:paraId="5266D893" w14:textId="77777777" w:rsidR="00E1198C" w:rsidRDefault="00000000">
      <w:pPr>
        <w:pStyle w:val="Tekstpodstawowy"/>
        <w:spacing w:before="121" w:line="283" w:lineRule="auto"/>
        <w:ind w:left="510" w:right="486"/>
        <w:jc w:val="both"/>
      </w:pPr>
      <w:r>
        <w:t>In 2024, the Company published  data on clinical effects for 2 compounds in phase II clinical trial: CPL'116 and CPL'36 in treatment of Parkinson's disease.</w:t>
      </w:r>
    </w:p>
    <w:p w14:paraId="4E8F7304" w14:textId="766554CC" w:rsidR="00E1198C" w:rsidRDefault="00000000">
      <w:pPr>
        <w:pStyle w:val="Tekstpodstawowy"/>
        <w:spacing w:before="112" w:line="276" w:lineRule="auto"/>
        <w:ind w:left="510" w:right="476"/>
        <w:jc w:val="both"/>
      </w:pPr>
      <w:r>
        <w:t>Over the past 2 years,</w:t>
      </w:r>
      <w:r w:rsidR="008E7DA7">
        <w:t xml:space="preserve"> </w:t>
      </w:r>
      <w:r>
        <w:t>Celon Pharma has redefined the technologies used to find new drugs and has begun the advanced development of 2 new breakthrough technologies: mRNAs and bispecific monoclonal antibodies. In these technologies, the Company develop programs in the field of oncology and inflammatory diseases. The first such project should reach the clinical development stage in 2025.</w:t>
      </w:r>
    </w:p>
    <w:p w14:paraId="703C44B4" w14:textId="77777777" w:rsidR="00E1198C" w:rsidRDefault="00000000">
      <w:pPr>
        <w:pStyle w:val="Tekstpodstawowy"/>
        <w:spacing w:before="120" w:line="405" w:lineRule="auto"/>
        <w:ind w:left="510" w:right="3810"/>
        <w:jc w:val="both"/>
      </w:pPr>
      <w:r>
        <w:t>In 2025, the Company intends to continue the strategic assumptions for this area as specified above. Commercialization of innovative medicines</w:t>
      </w:r>
    </w:p>
    <w:p w14:paraId="5324AEF1" w14:textId="77777777" w:rsidR="00E1198C" w:rsidRDefault="00000000">
      <w:pPr>
        <w:pStyle w:val="Tekstpodstawowy"/>
        <w:spacing w:line="278" w:lineRule="auto"/>
        <w:ind w:left="510" w:right="476"/>
        <w:jc w:val="both"/>
      </w:pPr>
      <w:r>
        <w:t>The Company believes that the development of innovative medicines followed by their commercialization will become one of the main drivers of the Company's growth in the future. Once the critical milestones of the phase II clinical trials have been reached, the Company will work to identify the best commercial solutions, including acquiring commercial partners to pursue phase III clinical development and commercialization of its projects.</w:t>
      </w:r>
    </w:p>
    <w:p w14:paraId="41582FA3" w14:textId="77777777" w:rsidR="00E1198C" w:rsidRDefault="00000000">
      <w:pPr>
        <w:pStyle w:val="Tekstpodstawowy"/>
        <w:spacing w:before="117" w:line="276" w:lineRule="auto"/>
        <w:ind w:left="510" w:right="477"/>
        <w:jc w:val="both"/>
      </w:pPr>
      <w:r>
        <w:t>While the Company generally intends to grant full licenses for the commercialization of its medicines, the Company is also considering retaining commercialization rights for selected medicines (which require only limited investment in this area) sold in Europe. The Company is in the early stages of developing key commercial relationships in this area. In particular, the Company expects that in the short to medium term it will seek a potential commercialization partner for the most advanced projects in clinical development, i.e. Falkieri, CPL’36 and CPL’116.</w:t>
      </w:r>
    </w:p>
    <w:p w14:paraId="6F28631E" w14:textId="77777777" w:rsidR="00E1198C" w:rsidRDefault="00000000">
      <w:pPr>
        <w:pStyle w:val="Tekstpodstawowy"/>
        <w:spacing w:before="121" w:line="276" w:lineRule="auto"/>
        <w:ind w:left="510" w:right="479"/>
        <w:jc w:val="both"/>
      </w:pPr>
      <w:r>
        <w:t>In the event that the Company's other innovative projects reach advanced stages of clinical development, the level of patent protection of the compounds and technologies developed by the Company, as well as the results of preclinical studies and clinical trials, including the most important phase II trials, will constitute an important factor for such activities. The Company believes that its compounds which are being developed in preclinical studies and clinical trials have multiple advantages over most of those currently available on the market or those under development, which provides a competitive advantage and favorable commercialization of such medicines in the future.</w:t>
      </w:r>
    </w:p>
    <w:p w14:paraId="7B6F6D1B" w14:textId="77777777" w:rsidR="00E1198C" w:rsidRDefault="00000000">
      <w:pPr>
        <w:pStyle w:val="Tekstpodstawowy"/>
        <w:spacing w:before="120"/>
        <w:ind w:left="510"/>
        <w:jc w:val="both"/>
      </w:pPr>
      <w:r>
        <w:t>In 2024, the Company intends to continue the strategic assumptions for this area as specified above.</w:t>
      </w:r>
    </w:p>
    <w:p w14:paraId="7CB9A4B5" w14:textId="77777777" w:rsidR="00E1198C" w:rsidRDefault="00000000">
      <w:pPr>
        <w:pStyle w:val="Tekstpodstawowy"/>
        <w:spacing w:before="152" w:line="271" w:lineRule="auto"/>
        <w:ind w:left="510" w:right="481"/>
        <w:jc w:val="both"/>
      </w:pPr>
      <w:r>
        <w:t>Further dynamic development of the generic medicines segment, including in particular further growth in global reach and sales of Salmex</w:t>
      </w:r>
    </w:p>
    <w:p w14:paraId="78F0B65A" w14:textId="77777777" w:rsidR="00E1198C" w:rsidRDefault="00000000">
      <w:pPr>
        <w:pStyle w:val="Tekstpodstawowy"/>
        <w:spacing w:before="122" w:line="278" w:lineRule="auto"/>
        <w:ind w:left="510" w:right="476"/>
        <w:jc w:val="both"/>
      </w:pPr>
      <w:r>
        <w:t>In April 2024, the Company started the sales of Zarixa in the area of cardiology. The Company is currently working on the development of several medicines in related disease areas, using the Company's current position in the market of generic medicines in Poland and its experience in building leading brands of generic medicines. The Company also plans to further develop its inhalation technologies on the basis of the experience gained from the development of Salmex.</w:t>
      </w:r>
    </w:p>
    <w:p w14:paraId="45908B9D" w14:textId="77777777" w:rsidR="00E1198C" w:rsidRDefault="00E1198C">
      <w:pPr>
        <w:spacing w:line="278" w:lineRule="auto"/>
        <w:jc w:val="both"/>
        <w:sectPr w:rsidR="00E1198C">
          <w:pgSz w:w="11900" w:h="16840"/>
          <w:pgMar w:top="820" w:right="320" w:bottom="920" w:left="300" w:header="0" w:footer="726" w:gutter="0"/>
          <w:cols w:space="708"/>
        </w:sectPr>
      </w:pPr>
    </w:p>
    <w:p w14:paraId="5548D5AF" w14:textId="77777777" w:rsidR="00E1198C" w:rsidRDefault="00000000">
      <w:pPr>
        <w:pStyle w:val="Tekstpodstawowy"/>
        <w:spacing w:before="61" w:line="276" w:lineRule="auto"/>
        <w:ind w:left="510" w:right="475"/>
        <w:jc w:val="both"/>
      </w:pPr>
      <w:r>
        <w:lastRenderedPageBreak/>
        <w:t xml:space="preserve">Salmex will remain the Company's main export product. It is currently sold in nearly 20 European countries, as well as in some non-European countries. The commercialization of Salmex outside Poland is done exclusively through business partners such as Glenmark, </w:t>
      </w:r>
      <w:proofErr w:type="spellStart"/>
      <w:r>
        <w:t>Viatris</w:t>
      </w:r>
      <w:proofErr w:type="spellEnd"/>
      <w:r>
        <w:t xml:space="preserve"> (formerly Mylan), </w:t>
      </w:r>
      <w:proofErr w:type="spellStart"/>
      <w:r>
        <w:t>Genericon</w:t>
      </w:r>
      <w:proofErr w:type="spellEnd"/>
      <w:r>
        <w:t>. The Company is actively seeking new partners in various markets worldwide, convinced that Salmex has the potential to become the Polish pharmaceutical industry's first global product. Countries where sales are planned to start as a result of licensing agreements in force include China, Mexico, South Africa, Australia, as well as numerous countries in Latin America, the Middle East and Southeast Asia.</w:t>
      </w:r>
    </w:p>
    <w:p w14:paraId="663A77A2" w14:textId="77777777" w:rsidR="00E1198C" w:rsidRDefault="00000000">
      <w:pPr>
        <w:pStyle w:val="Tekstpodstawowy"/>
        <w:spacing w:before="116"/>
        <w:ind w:left="550"/>
        <w:jc w:val="both"/>
      </w:pPr>
      <w:r>
        <w:t>In 2025, the Company intends to continue the strategic assumptions for this area as indicated above.</w:t>
      </w:r>
    </w:p>
    <w:p w14:paraId="6C0C729E" w14:textId="77777777" w:rsidR="00E1198C" w:rsidRDefault="00000000">
      <w:pPr>
        <w:pStyle w:val="Tekstpodstawowy"/>
        <w:spacing w:before="163" w:line="273" w:lineRule="auto"/>
        <w:ind w:left="510" w:right="476"/>
        <w:jc w:val="both"/>
      </w:pPr>
      <w:r>
        <w:t>To enable effective implementation of the most important strategic objectives, the Company's Management Board decided to change the Company's organizational structure, which now includes three basic organizational units: (i) Shared Services Center ("Holding Activity"); (ii) Celon Pharma Specialty Pharmaceuticals ("Generic Activity"); and (iii) Celon Pharma Pharmaceutical Innovations ("Innovative Activity"). Each of the organizational units constitutes a functionally, organizationally and financially separated organized part of the Issuer's enterprise. The regulations enter into force on the date of adoption of the resolution.</w:t>
      </w:r>
    </w:p>
    <w:p w14:paraId="3495FF66" w14:textId="77777777" w:rsidR="00E1198C" w:rsidRDefault="00000000">
      <w:pPr>
        <w:pStyle w:val="Tekstpodstawowy"/>
        <w:spacing w:before="131" w:line="273" w:lineRule="auto"/>
        <w:ind w:left="510" w:right="476"/>
        <w:jc w:val="both"/>
      </w:pPr>
      <w:r>
        <w:t>The purpose of separating individual organizational units is to increase the efficiency of the Issuer's current operations and improve the management of individual areas of its activity, and in the longer term, to increase the Issuer's competitiveness by creating competence centers in the areas of activity assigned to individual organizational units. This will ultimately allow for the independence of further development of Generic Activity and Innovative Activity, with continued support of both of these areas by Holding Activity.</w:t>
      </w:r>
    </w:p>
    <w:p w14:paraId="7973CA63" w14:textId="77777777" w:rsidR="00E1198C" w:rsidRDefault="00E1198C">
      <w:pPr>
        <w:pStyle w:val="Tekstpodstawowy"/>
      </w:pPr>
    </w:p>
    <w:p w14:paraId="6A282C1A" w14:textId="77777777" w:rsidR="00E1198C" w:rsidRDefault="00E1198C">
      <w:pPr>
        <w:pStyle w:val="Tekstpodstawowy"/>
        <w:spacing w:before="169"/>
      </w:pPr>
    </w:p>
    <w:p w14:paraId="2230D044" w14:textId="77777777" w:rsidR="00E1198C" w:rsidRDefault="00000000">
      <w:pPr>
        <w:pStyle w:val="Nagwek5"/>
        <w:spacing w:before="1"/>
        <w:jc w:val="both"/>
      </w:pPr>
      <w:r>
        <w:rPr>
          <w:color w:val="F07D00"/>
        </w:rPr>
        <w:t>Medium-term development goals</w:t>
      </w:r>
    </w:p>
    <w:p w14:paraId="45B28CFB" w14:textId="77777777" w:rsidR="00E1198C" w:rsidRDefault="00000000">
      <w:pPr>
        <w:pStyle w:val="Tekstpodstawowy"/>
        <w:spacing w:before="157" w:line="271" w:lineRule="auto"/>
        <w:ind w:left="510" w:right="480"/>
        <w:jc w:val="both"/>
      </w:pPr>
      <w:r>
        <w:rPr>
          <w:color w:val="231F20"/>
        </w:rPr>
        <w:t>In terms of the development of innovative medicines, supported by the launch of the infrastructure of the new R&amp;D center, the Company aims to achieve the following medium-term goals:</w:t>
      </w:r>
    </w:p>
    <w:p w14:paraId="6DD74F93" w14:textId="77777777" w:rsidR="00E1198C" w:rsidRDefault="00000000">
      <w:pPr>
        <w:pStyle w:val="Akapitzlist"/>
        <w:numPr>
          <w:ilvl w:val="0"/>
          <w:numId w:val="36"/>
        </w:numPr>
        <w:tabs>
          <w:tab w:val="left" w:pos="1639"/>
        </w:tabs>
        <w:spacing w:before="70"/>
        <w:ind w:left="1639" w:hanging="285"/>
        <w:rPr>
          <w:sz w:val="18"/>
        </w:rPr>
      </w:pPr>
      <w:r>
        <w:rPr>
          <w:color w:val="231F20"/>
          <w:sz w:val="18"/>
        </w:rPr>
        <w:t>the introduction of at least two drug candidates into clinical development per year,</w:t>
      </w:r>
    </w:p>
    <w:p w14:paraId="7814A4CC" w14:textId="77777777" w:rsidR="00E1198C" w:rsidRDefault="00000000">
      <w:pPr>
        <w:pStyle w:val="Akapitzlist"/>
        <w:numPr>
          <w:ilvl w:val="0"/>
          <w:numId w:val="36"/>
        </w:numPr>
        <w:tabs>
          <w:tab w:val="left" w:pos="1639"/>
        </w:tabs>
        <w:spacing w:before="37"/>
        <w:ind w:left="1639" w:hanging="285"/>
        <w:rPr>
          <w:sz w:val="18"/>
        </w:rPr>
      </w:pPr>
      <w:r>
        <w:rPr>
          <w:color w:val="231F20"/>
          <w:sz w:val="18"/>
        </w:rPr>
        <w:t>the completion of phase II drug trials in at least 6 therapeutic indications,</w:t>
      </w:r>
    </w:p>
    <w:p w14:paraId="4B03239D" w14:textId="77777777" w:rsidR="00E1198C" w:rsidRDefault="00000000">
      <w:pPr>
        <w:pStyle w:val="Akapitzlist"/>
        <w:numPr>
          <w:ilvl w:val="0"/>
          <w:numId w:val="36"/>
        </w:numPr>
        <w:tabs>
          <w:tab w:val="left" w:pos="1574"/>
        </w:tabs>
        <w:spacing w:before="72"/>
        <w:ind w:left="1574" w:hanging="220"/>
        <w:rPr>
          <w:sz w:val="18"/>
        </w:rPr>
      </w:pPr>
      <w:r>
        <w:rPr>
          <w:color w:val="231F20"/>
          <w:sz w:val="18"/>
        </w:rPr>
        <w:t>initiation of phase III programs (in collaboration with other partners) for at least three therapeutic indications,</w:t>
      </w:r>
    </w:p>
    <w:p w14:paraId="527A2177" w14:textId="77777777" w:rsidR="00E1198C" w:rsidRDefault="00000000">
      <w:pPr>
        <w:pStyle w:val="Akapitzlist"/>
        <w:numPr>
          <w:ilvl w:val="0"/>
          <w:numId w:val="36"/>
        </w:numPr>
        <w:tabs>
          <w:tab w:val="left" w:pos="1639"/>
        </w:tabs>
        <w:spacing w:before="49"/>
        <w:ind w:left="1639" w:hanging="285"/>
        <w:rPr>
          <w:sz w:val="18"/>
        </w:rPr>
      </w:pPr>
      <w:r>
        <w:rPr>
          <w:color w:val="231F20"/>
          <w:sz w:val="18"/>
        </w:rPr>
        <w:t>the completion of phase III trials of Falkieri (</w:t>
      </w:r>
      <w:proofErr w:type="spellStart"/>
      <w:r>
        <w:rPr>
          <w:color w:val="231F20"/>
          <w:sz w:val="18"/>
        </w:rPr>
        <w:t>esketamine</w:t>
      </w:r>
      <w:proofErr w:type="spellEnd"/>
      <w:r>
        <w:rPr>
          <w:color w:val="231F20"/>
          <w:sz w:val="18"/>
        </w:rPr>
        <w:t xml:space="preserve"> DPI) and submission of applications to the FDA and EMA,</w:t>
      </w:r>
    </w:p>
    <w:p w14:paraId="3262AD7F" w14:textId="77777777" w:rsidR="00E1198C" w:rsidRDefault="00000000">
      <w:pPr>
        <w:pStyle w:val="Akapitzlist"/>
        <w:numPr>
          <w:ilvl w:val="0"/>
          <w:numId w:val="36"/>
        </w:numPr>
        <w:tabs>
          <w:tab w:val="left" w:pos="1639"/>
        </w:tabs>
        <w:spacing w:before="37"/>
        <w:ind w:left="1639" w:hanging="285"/>
        <w:rPr>
          <w:sz w:val="18"/>
        </w:rPr>
      </w:pPr>
      <w:r>
        <w:rPr>
          <w:color w:val="231F20"/>
          <w:sz w:val="18"/>
        </w:rPr>
        <w:t>the signing of significant partnership agreements.</w:t>
      </w:r>
    </w:p>
    <w:p w14:paraId="0EA69DC2" w14:textId="77777777" w:rsidR="00E1198C" w:rsidRDefault="00000000">
      <w:pPr>
        <w:pStyle w:val="Akapitzlist"/>
        <w:numPr>
          <w:ilvl w:val="1"/>
          <w:numId w:val="43"/>
        </w:numPr>
        <w:tabs>
          <w:tab w:val="left" w:pos="1088"/>
        </w:tabs>
        <w:spacing w:before="215"/>
        <w:ind w:hanging="578"/>
        <w:rPr>
          <w:sz w:val="18"/>
        </w:rPr>
      </w:pPr>
      <w:r>
        <w:rPr>
          <w:color w:val="F07D00"/>
          <w:sz w:val="18"/>
        </w:rPr>
        <w:t>Major domestic and foreign investments and capital investments</w:t>
      </w:r>
    </w:p>
    <w:p w14:paraId="28FECCEE" w14:textId="77777777" w:rsidR="00E1198C" w:rsidRDefault="00E1198C">
      <w:pPr>
        <w:pStyle w:val="Tekstpodstawowy"/>
        <w:spacing w:before="123"/>
      </w:pPr>
    </w:p>
    <w:p w14:paraId="52089BCE" w14:textId="4D984C22" w:rsidR="00E1198C" w:rsidRDefault="00000000">
      <w:pPr>
        <w:pStyle w:val="Tekstpodstawowy"/>
        <w:spacing w:line="278" w:lineRule="auto"/>
        <w:ind w:left="510" w:right="478"/>
        <w:jc w:val="both"/>
      </w:pPr>
      <w:r>
        <w:t xml:space="preserve">As at December 31, 2024, the Company held surplus cash resulting from the issue of D-series shares in Q3 2021. Part of the surplus was allocated to </w:t>
      </w:r>
      <w:proofErr w:type="spellStart"/>
      <w:r>
        <w:t>TFI</w:t>
      </w:r>
      <w:proofErr w:type="spellEnd"/>
      <w:r>
        <w:t xml:space="preserve"> units and is presented in the balance sheet as at December 31, 2024 as other financial assets in the value of PLN 48.2 million. The remaining surpluses are placed on a regular basis in short-term bank deposits based on variable interest rates.</w:t>
      </w:r>
    </w:p>
    <w:p w14:paraId="2F4E0368" w14:textId="77777777" w:rsidR="00E1198C" w:rsidRDefault="00E1198C">
      <w:pPr>
        <w:pStyle w:val="Tekstpodstawowy"/>
        <w:spacing w:before="21"/>
      </w:pPr>
    </w:p>
    <w:p w14:paraId="5EE570E4" w14:textId="77777777" w:rsidR="00E1198C" w:rsidRDefault="00000000">
      <w:pPr>
        <w:pStyle w:val="Akapitzlist"/>
        <w:numPr>
          <w:ilvl w:val="1"/>
          <w:numId w:val="43"/>
        </w:numPr>
        <w:tabs>
          <w:tab w:val="left" w:pos="1088"/>
        </w:tabs>
        <w:ind w:hanging="578"/>
        <w:rPr>
          <w:sz w:val="18"/>
        </w:rPr>
      </w:pPr>
      <w:r>
        <w:rPr>
          <w:color w:val="F07D00"/>
          <w:sz w:val="18"/>
        </w:rPr>
        <w:t>Prospects for Celon Pharma S.A. and factors important for its development</w:t>
      </w:r>
    </w:p>
    <w:p w14:paraId="2328B8F1" w14:textId="77777777" w:rsidR="00E1198C" w:rsidRDefault="00E1198C">
      <w:pPr>
        <w:pStyle w:val="Tekstpodstawowy"/>
      </w:pPr>
    </w:p>
    <w:p w14:paraId="6C4BAE6B" w14:textId="77777777" w:rsidR="00E1198C" w:rsidRDefault="00E1198C">
      <w:pPr>
        <w:pStyle w:val="Tekstpodstawowy"/>
        <w:spacing w:before="27"/>
      </w:pPr>
    </w:p>
    <w:p w14:paraId="2E6F39E8" w14:textId="77777777" w:rsidR="00E1198C" w:rsidRDefault="00000000">
      <w:pPr>
        <w:pStyle w:val="Akapitzlist"/>
        <w:numPr>
          <w:ilvl w:val="2"/>
          <w:numId w:val="43"/>
        </w:numPr>
        <w:tabs>
          <w:tab w:val="left" w:pos="1229"/>
        </w:tabs>
        <w:ind w:left="1229" w:hanging="719"/>
        <w:rPr>
          <w:sz w:val="18"/>
        </w:rPr>
      </w:pPr>
      <w:r>
        <w:rPr>
          <w:color w:val="F07D00"/>
          <w:sz w:val="18"/>
        </w:rPr>
        <w:t xml:space="preserve">Factors in the development of the segment of generic drugs </w:t>
      </w:r>
    </w:p>
    <w:p w14:paraId="7C0D36A5" w14:textId="77777777" w:rsidR="00E1198C" w:rsidRDefault="00E1198C">
      <w:pPr>
        <w:pStyle w:val="Tekstpodstawowy"/>
        <w:spacing w:before="56"/>
      </w:pPr>
    </w:p>
    <w:p w14:paraId="21F64F14" w14:textId="77777777" w:rsidR="00E1198C" w:rsidRDefault="00000000">
      <w:pPr>
        <w:pStyle w:val="Tekstpodstawowy"/>
        <w:spacing w:line="273" w:lineRule="auto"/>
        <w:ind w:left="510" w:right="478"/>
        <w:jc w:val="both"/>
      </w:pPr>
      <w:r>
        <w:t>The dates of expiration of patent protection for original drugs are of key importance for the Company’s activities in the generic drugs segment. In the upcoming few years, the Company anticipates an opportunity to introduce new generic drugs to the market in key areas such as heart diseases, oncology, neuropsychiatry or lung diseases. The introduction of new generic drugs to the market may be one of the main factors affecting the Company’s revenues from the segment of generic drugs in the future.</w:t>
      </w:r>
    </w:p>
    <w:p w14:paraId="014484EA" w14:textId="77777777" w:rsidR="00E1198C" w:rsidRDefault="00000000">
      <w:pPr>
        <w:pStyle w:val="Tekstpodstawowy"/>
        <w:spacing w:before="123" w:line="278" w:lineRule="auto"/>
        <w:ind w:left="510" w:right="474"/>
        <w:jc w:val="both"/>
      </w:pPr>
      <w:r>
        <w:t>The segment of complex generic drugs is characterized by the presence of significant technological barriers both in the development process and in the manufacture of the product itself. As a result, the supply of competing products is limited or the appearance of equivalents on the market is significantly delayed. The specificity of products can also significantly affect the question of interchangeability of a given drug with another because of the different way of administering the drug depending on the adopted inhaler form for the given drug.</w:t>
      </w:r>
    </w:p>
    <w:p w14:paraId="3CABC5E5" w14:textId="77777777" w:rsidR="00E1198C" w:rsidRDefault="00000000">
      <w:pPr>
        <w:pStyle w:val="Tekstpodstawowy"/>
        <w:spacing w:before="117" w:line="273" w:lineRule="auto"/>
        <w:ind w:left="510" w:right="480"/>
        <w:jc w:val="both"/>
      </w:pPr>
      <w:r>
        <w:t>The generics market in Poland is often referred to as the branded generics market, where generic products have to be promoted by doctors and pharmacists. The segment of generic drugs sold exclusively under the international name of the drug (INN) represents only a small percentage of the overall generic market. The nature of the generic market is closely related to the current regulations on prescribing drugs and filling prescriptions. A possible amendment of regulations that would change the nature of the generics market from branded to INN could affect the profitability of the Company’s generic drugs segment.</w:t>
      </w:r>
    </w:p>
    <w:p w14:paraId="24D3C793" w14:textId="77777777" w:rsidR="00E1198C" w:rsidRDefault="00E1198C">
      <w:pPr>
        <w:spacing w:line="273" w:lineRule="auto"/>
        <w:jc w:val="both"/>
        <w:sectPr w:rsidR="00E1198C">
          <w:pgSz w:w="11900" w:h="16840"/>
          <w:pgMar w:top="820" w:right="320" w:bottom="920" w:left="300" w:header="0" w:footer="726" w:gutter="0"/>
          <w:cols w:space="708"/>
        </w:sectPr>
      </w:pPr>
    </w:p>
    <w:p w14:paraId="6B9C0820" w14:textId="77777777" w:rsidR="00E1198C" w:rsidRDefault="00000000">
      <w:pPr>
        <w:pStyle w:val="Tekstpodstawowy"/>
        <w:spacing w:before="61" w:line="283" w:lineRule="auto"/>
        <w:ind w:left="510" w:right="476"/>
        <w:jc w:val="both"/>
      </w:pPr>
      <w:r>
        <w:lastRenderedPageBreak/>
        <w:t>The Company believes that its results in the future will depend on the prospects for the development of the  generic drug market and possible erosion of prices of drugs introduced to the market by the Company.</w:t>
      </w:r>
    </w:p>
    <w:p w14:paraId="5BF09687" w14:textId="77777777" w:rsidR="00E1198C" w:rsidRDefault="00E1198C">
      <w:pPr>
        <w:pStyle w:val="Tekstpodstawowy"/>
        <w:spacing w:before="128"/>
      </w:pPr>
    </w:p>
    <w:p w14:paraId="37CBB041" w14:textId="77777777" w:rsidR="00E1198C" w:rsidRDefault="00000000">
      <w:pPr>
        <w:pStyle w:val="Akapitzlist"/>
        <w:numPr>
          <w:ilvl w:val="2"/>
          <w:numId w:val="43"/>
        </w:numPr>
        <w:tabs>
          <w:tab w:val="left" w:pos="1229"/>
        </w:tabs>
        <w:ind w:left="1229" w:hanging="719"/>
        <w:rPr>
          <w:sz w:val="18"/>
        </w:rPr>
      </w:pPr>
      <w:r>
        <w:rPr>
          <w:color w:val="F07D00"/>
          <w:sz w:val="18"/>
        </w:rPr>
        <w:t xml:space="preserve">Factors in the development of innovative drug projects </w:t>
      </w:r>
    </w:p>
    <w:p w14:paraId="1C358715" w14:textId="77777777" w:rsidR="00E1198C" w:rsidRDefault="00E1198C">
      <w:pPr>
        <w:pStyle w:val="Tekstpodstawowy"/>
        <w:spacing w:before="56"/>
      </w:pPr>
    </w:p>
    <w:p w14:paraId="4C8BDF75" w14:textId="77777777" w:rsidR="00E1198C" w:rsidRDefault="00000000">
      <w:pPr>
        <w:pStyle w:val="Tekstpodstawowy"/>
        <w:spacing w:line="276" w:lineRule="auto"/>
        <w:ind w:left="510" w:right="480"/>
        <w:jc w:val="both"/>
      </w:pPr>
      <w:r>
        <w:rPr>
          <w:color w:val="231F20"/>
        </w:rPr>
        <w:t>The market of innovative drugs is characterized by considerable uncertainty regarding the prospects for the development of projects carried out by the Company. Oncological diseases, diseases of the respiratory, nervous and cardiovascular systems, which is the Company's focus, are very intensively studied groups of diseases in biomedical sciences, which, in the opinion of the Company, are also promising directions of activity, among others due to the progressive aging of societies in developed countries, as well as the growing standard of health care in developing countries, which affects, among other things, the increasingly early detection of diseases.</w:t>
      </w:r>
    </w:p>
    <w:p w14:paraId="2D087980" w14:textId="77777777" w:rsidR="00E1198C" w:rsidRDefault="00000000">
      <w:pPr>
        <w:pStyle w:val="Tekstpodstawowy"/>
        <w:spacing w:before="121" w:line="276" w:lineRule="auto"/>
        <w:ind w:left="510" w:right="479"/>
        <w:jc w:val="both"/>
      </w:pPr>
      <w:r>
        <w:rPr>
          <w:color w:val="231F20"/>
        </w:rPr>
        <w:t>However, the characteristics of the market of innovative drugs mean that one therapeutic indication is the subject of parallel independent research carried out by several entities. The competitors’ introduction of drugs characterized by advantages in terms of effectiveness or tolerance by the human body over the drugs currently under development by the Company or the invention of new therapeutic methods may negatively affect the Company’s results as well as lead to a change in the business prospects for the Company's innovative projects. The innovative drug market is also subject to dynamic, unpredictable changes, which are a characteristic element of this market.</w:t>
      </w:r>
    </w:p>
    <w:p w14:paraId="3929EFDA" w14:textId="77777777" w:rsidR="00E1198C" w:rsidRDefault="00E1198C">
      <w:pPr>
        <w:pStyle w:val="Tekstpodstawowy"/>
        <w:spacing w:before="13"/>
      </w:pPr>
    </w:p>
    <w:p w14:paraId="18E35B8F" w14:textId="77777777" w:rsidR="00E1198C" w:rsidRDefault="00000000">
      <w:pPr>
        <w:pStyle w:val="Akapitzlist"/>
        <w:numPr>
          <w:ilvl w:val="1"/>
          <w:numId w:val="43"/>
        </w:numPr>
        <w:tabs>
          <w:tab w:val="left" w:pos="1088"/>
        </w:tabs>
        <w:ind w:hanging="578"/>
        <w:rPr>
          <w:sz w:val="18"/>
        </w:rPr>
      </w:pPr>
      <w:r>
        <w:rPr>
          <w:color w:val="F07D00"/>
          <w:sz w:val="18"/>
        </w:rPr>
        <w:t>Assessment of the capacity to meet investment plans</w:t>
      </w:r>
    </w:p>
    <w:p w14:paraId="653C3CDC" w14:textId="77777777" w:rsidR="00E1198C" w:rsidRDefault="00E1198C">
      <w:pPr>
        <w:pStyle w:val="Tekstpodstawowy"/>
        <w:spacing w:before="135"/>
      </w:pPr>
    </w:p>
    <w:p w14:paraId="52F7C1CD" w14:textId="77777777" w:rsidR="00E1198C" w:rsidRDefault="00000000">
      <w:pPr>
        <w:pStyle w:val="Tekstpodstawowy"/>
        <w:spacing w:line="273" w:lineRule="auto"/>
        <w:ind w:left="510" w:right="477"/>
        <w:jc w:val="both"/>
      </w:pPr>
      <w:r>
        <w:rPr>
          <w:color w:val="231F20"/>
        </w:rPr>
        <w:t>The Company’s investments in the coming years will focus on the purchase of rights to technologies necessary to support the development processes of R&amp;D projects (especially in the field of mRNA technology). Later, depending on the possible success of the clinical development of new drugs and the selected partnership strategy, there may be a need to expand production capacity to support the production of new drugs for commercial purposes.</w:t>
      </w:r>
    </w:p>
    <w:p w14:paraId="05D2B54F" w14:textId="77777777" w:rsidR="00E1198C" w:rsidRDefault="00E1198C">
      <w:pPr>
        <w:pStyle w:val="Tekstpodstawowy"/>
        <w:spacing w:before="27"/>
      </w:pPr>
    </w:p>
    <w:p w14:paraId="7F825762" w14:textId="77777777" w:rsidR="00E1198C" w:rsidRDefault="00000000">
      <w:pPr>
        <w:pStyle w:val="Akapitzlist"/>
        <w:numPr>
          <w:ilvl w:val="0"/>
          <w:numId w:val="43"/>
        </w:numPr>
        <w:tabs>
          <w:tab w:val="left" w:pos="942"/>
        </w:tabs>
        <w:ind w:hanging="432"/>
        <w:rPr>
          <w:sz w:val="18"/>
        </w:rPr>
      </w:pPr>
      <w:r>
        <w:rPr>
          <w:color w:val="F5811F"/>
          <w:sz w:val="18"/>
        </w:rPr>
        <w:t>Risk factors and threats to the activities of Celon Pharma S.A.</w:t>
      </w:r>
    </w:p>
    <w:p w14:paraId="465F59F0" w14:textId="77777777" w:rsidR="00E1198C" w:rsidRDefault="00E1198C">
      <w:pPr>
        <w:pStyle w:val="Tekstpodstawowy"/>
        <w:spacing w:before="7"/>
        <w:rPr>
          <w:sz w:val="19"/>
        </w:rPr>
      </w:pPr>
    </w:p>
    <w:p w14:paraId="530A3875" w14:textId="66AD85A6" w:rsidR="00E1198C" w:rsidRPr="000934DB" w:rsidRDefault="000934DB">
      <w:pPr>
        <w:ind w:left="511"/>
        <w:jc w:val="both"/>
        <w:rPr>
          <w:i/>
          <w:iCs/>
          <w:color w:val="F5811F"/>
          <w:spacing w:val="-2"/>
          <w:sz w:val="18"/>
        </w:rPr>
      </w:pPr>
      <w:r>
        <w:rPr>
          <w:i/>
          <w:color w:val="F5811F"/>
          <w:sz w:val="18"/>
        </w:rPr>
        <w:t>Risk associated with clinical trials and innovative drug projects</w:t>
      </w:r>
    </w:p>
    <w:p w14:paraId="4A24CC66" w14:textId="77777777" w:rsidR="00E1198C" w:rsidRDefault="00000000" w:rsidP="00650FD4">
      <w:pPr>
        <w:pStyle w:val="Tekstpodstawowy"/>
        <w:spacing w:before="144"/>
        <w:ind w:left="510" w:right="477"/>
        <w:jc w:val="both"/>
      </w:pPr>
      <w:r>
        <w:t>The main characteristics of research projects, particularly with regard to innovative drug development projects, involve a high degree of uncertainty regarding the feasibility of achieving the anticipated results, the relatively frequent need to modify the original research assumptions, and the different and time-varying development potential of the projects related to the possibility of commercializing the compound in question.</w:t>
      </w:r>
    </w:p>
    <w:p w14:paraId="00C2547A" w14:textId="77777777" w:rsidR="00E1198C" w:rsidRDefault="00000000" w:rsidP="00650FD4">
      <w:pPr>
        <w:pStyle w:val="Tekstpodstawowy"/>
        <w:spacing w:before="117"/>
        <w:ind w:left="510" w:right="476"/>
        <w:jc w:val="both"/>
      </w:pPr>
      <w:r>
        <w:t>The Company's know-how and experience, as well as the extensive literature in this area, suggest that, depending on the therapeutic group, an average of 3 to 5 out of 10 research projects in the field of innovative medicines development reach the clinical trial phase where commercialization is possible, and an average of only 1 to 2 out of 10 reach the registration phase (based on a study by Kimmitt et al., “Time and Success Rates of Pharmaceutical R&amp;D”, 2020). The development of innovative drugs is associated with a number of risks, the two main ones being:</w:t>
      </w:r>
    </w:p>
    <w:p w14:paraId="3A2F839E" w14:textId="77777777" w:rsidR="00E1198C" w:rsidRDefault="00000000" w:rsidP="00650FD4">
      <w:pPr>
        <w:pStyle w:val="Akapitzlist"/>
        <w:numPr>
          <w:ilvl w:val="0"/>
          <w:numId w:val="35"/>
        </w:numPr>
        <w:tabs>
          <w:tab w:val="left" w:pos="1228"/>
          <w:tab w:val="left" w:pos="1230"/>
        </w:tabs>
        <w:spacing w:before="123"/>
        <w:ind w:right="479"/>
        <w:jc w:val="both"/>
        <w:rPr>
          <w:sz w:val="18"/>
        </w:rPr>
      </w:pPr>
      <w:r>
        <w:rPr>
          <w:sz w:val="18"/>
        </w:rPr>
        <w:t>delays in the project implementation, for instance as a result of a change in the original assumptions, which reduce the possible market potential of the compound and limit the possibility of its commercialization</w:t>
      </w:r>
    </w:p>
    <w:p w14:paraId="4BD92030" w14:textId="77777777" w:rsidR="00E1198C" w:rsidRDefault="00000000" w:rsidP="00650FD4">
      <w:pPr>
        <w:pStyle w:val="Akapitzlist"/>
        <w:numPr>
          <w:ilvl w:val="0"/>
          <w:numId w:val="35"/>
        </w:numPr>
        <w:tabs>
          <w:tab w:val="left" w:pos="1228"/>
          <w:tab w:val="left" w:pos="1230"/>
        </w:tabs>
        <w:spacing w:before="112"/>
        <w:ind w:right="479"/>
        <w:jc w:val="both"/>
        <w:rPr>
          <w:sz w:val="18"/>
        </w:rPr>
      </w:pPr>
      <w:r>
        <w:rPr>
          <w:sz w:val="18"/>
        </w:rPr>
        <w:t>failure to achieve the intended research outcomes as a result of failure to achieve the expected pharmacological and clinical parameters of the selected compound or drug candidate.</w:t>
      </w:r>
    </w:p>
    <w:p w14:paraId="63B4A3EF" w14:textId="77777777" w:rsidR="00E1198C" w:rsidRDefault="00000000" w:rsidP="00650FD4">
      <w:pPr>
        <w:pStyle w:val="Tekstpodstawowy"/>
        <w:spacing w:before="122"/>
        <w:ind w:left="510" w:right="476"/>
        <w:jc w:val="both"/>
      </w:pPr>
      <w:r>
        <w:t>Should such events occur, the Company may face termination of the research project at a stage prior to its commercialization and thus may not receive a return of its research and development expenditures. At the moment, five of the Company's research projects are at the clinical trial phase. Clinical trials conducted on humans constitute a very important stage of work related to preparation for registration and commercialization, which is subject to significant risks. In particular, it is possible that the results of clinical trials are not consistent with the anticipated results, which may give rise to the need for conducting additional clinical trials or developing new protocols for such trials. Such events may delay the drug registration and therefore delay the point at which the Company will start generating revenues from the sale of the drug and may lead to the project's failure. In particular, in the case of projects discontinued at the clinical trials phase or earlier, the scale of the costs incurred to execute them may prove to be significant, which could have a negative impact on the Company's business activity, financial performance or prospects.</w:t>
      </w:r>
    </w:p>
    <w:p w14:paraId="728928CD" w14:textId="29ED0E38" w:rsidR="000934DB" w:rsidRPr="000934DB" w:rsidRDefault="00000000" w:rsidP="00650FD4">
      <w:pPr>
        <w:pStyle w:val="Tekstpodstawowy"/>
        <w:spacing w:before="123"/>
        <w:ind w:left="510" w:right="477"/>
        <w:jc w:val="both"/>
        <w:rPr>
          <w:spacing w:val="-2"/>
        </w:rPr>
      </w:pPr>
      <w:r>
        <w:t>As at the date of preparation of this report, the Company assesses the probability of the occurrence of this risk as moderate and that, should this risk occur in the future, the scale of its negative impact on the Company's business activity, financial performance or perspectives would be significant.</w:t>
      </w:r>
    </w:p>
    <w:p w14:paraId="4F9A4F61" w14:textId="77777777" w:rsidR="000934DB" w:rsidRDefault="000934DB" w:rsidP="000934DB">
      <w:pPr>
        <w:ind w:left="511"/>
        <w:jc w:val="both"/>
        <w:rPr>
          <w:i/>
          <w:iCs/>
          <w:color w:val="F5811F"/>
          <w:spacing w:val="-2"/>
          <w:sz w:val="18"/>
        </w:rPr>
      </w:pPr>
    </w:p>
    <w:p w14:paraId="7726E955" w14:textId="7CEA9D1D" w:rsidR="00E1198C" w:rsidRPr="000934DB" w:rsidRDefault="000934DB" w:rsidP="000934DB">
      <w:pPr>
        <w:ind w:left="511"/>
        <w:jc w:val="both"/>
        <w:rPr>
          <w:i/>
          <w:iCs/>
          <w:color w:val="F5811F"/>
          <w:spacing w:val="-2"/>
          <w:sz w:val="18"/>
        </w:rPr>
      </w:pPr>
      <w:r>
        <w:rPr>
          <w:i/>
          <w:color w:val="F5811F"/>
          <w:sz w:val="18"/>
        </w:rPr>
        <w:t>Risks associated with reliance on and collaboration with suppliers</w:t>
      </w:r>
    </w:p>
    <w:p w14:paraId="2AD2581E" w14:textId="064736D1" w:rsidR="00E1198C" w:rsidRDefault="00000000">
      <w:pPr>
        <w:pStyle w:val="Tekstpodstawowy"/>
        <w:spacing w:before="155" w:line="276" w:lineRule="auto"/>
        <w:ind w:left="510" w:right="479"/>
        <w:jc w:val="both"/>
      </w:pPr>
      <w:r>
        <w:t xml:space="preserve">The Company relies, and expects to continue to rely, on third parties to purchase machines, equipment and components for the production of particular drugs, including active substances and chemical reagents as well as laboratory equipment used in research and development. Given the risk of supply chain disruption, the Company sources active substances from Poland, </w:t>
      </w:r>
    </w:p>
    <w:p w14:paraId="628B42A6" w14:textId="77777777" w:rsidR="00E1198C" w:rsidRDefault="00E1198C">
      <w:pPr>
        <w:spacing w:line="276" w:lineRule="auto"/>
        <w:jc w:val="both"/>
        <w:sectPr w:rsidR="00E1198C">
          <w:pgSz w:w="11900" w:h="16840"/>
          <w:pgMar w:top="820" w:right="320" w:bottom="920" w:left="300" w:header="0" w:footer="726" w:gutter="0"/>
          <w:cols w:space="708"/>
        </w:sectPr>
      </w:pPr>
    </w:p>
    <w:p w14:paraId="1388CCA6" w14:textId="77777777" w:rsidR="00E1198C" w:rsidRDefault="00000000">
      <w:pPr>
        <w:pStyle w:val="Tekstpodstawowy"/>
        <w:spacing w:before="61" w:line="276" w:lineRule="auto"/>
        <w:ind w:left="510" w:right="473"/>
        <w:jc w:val="both"/>
      </w:pPr>
      <w:r>
        <w:lastRenderedPageBreak/>
        <w:t>Germany, Italy, Canada, Israel, and India. The main suppliers of both active substances and reagents provide the Company with 80% of its resource needs. Replacing any of the Company's major suppliers may impose significant efforts on the Company's part and could potentially result in delays in the delivery of materials, additional costs or involve the suspension of sales of the Company's products. In the case of active substances subject to registration in the Company's product registration dossier, supply disruptions may significantly affect the ability to produce the finished product. Almost all active substances included in the registration dossiers of the Company's products have at least two qualified and registered suppliers, thus the risk is reduced. However, replacing any of the suppliers, e.g. in the case of contamination of active substances, may require significant efforts on the Company's part and potentially cause delays in the delivery of materials, additional costs or involve the suspension of sales of the Company's products. A part of the Company's machinery park, in particular the equipment used in the manufacture of dry powder inhalers, is of a unique nature. These are customized machines individually designed to meet the needs of the Company's production processes. Given that the vast majority of investment tasks related to the construction of a machinery park to secure current and future (in the perspective of the next few years) production needs have already been completed, the risk of reliance in this case relates to being able to smoothly and timely service and repair such equipment, particularly the unique equipment. Any delays in servicing and repairing the Company's machinery park may cause delays in the production of the Company's products or the Company's ongoing research projects.</w:t>
      </w:r>
    </w:p>
    <w:p w14:paraId="021FB6D4" w14:textId="77777777" w:rsidR="00E1198C" w:rsidRDefault="00000000">
      <w:pPr>
        <w:pStyle w:val="Tekstpodstawowy"/>
        <w:spacing w:before="126" w:line="273" w:lineRule="auto"/>
        <w:ind w:left="510" w:right="479"/>
        <w:jc w:val="both"/>
      </w:pPr>
      <w:r>
        <w:t>Furthermore, if suppliers fail to meet their contractual obligations, fail to meet expected deadlines or fail to comply with regulatory requirements, the development of potential drugs and the commercialization of drugs produced by the Company may be suspended, delayed or become less profitable, which could have a negative impact on the Company's business activity. Moreover, if the suppliers fail to comply with employment, social and recognized ethical standards or other standards, the Company's reputation, image and the perception of its products may be adversely affected or harmed.</w:t>
      </w:r>
    </w:p>
    <w:p w14:paraId="15B5912D" w14:textId="77777777" w:rsidR="00E1198C" w:rsidRDefault="00000000">
      <w:pPr>
        <w:pStyle w:val="Tekstpodstawowy"/>
        <w:spacing w:before="132" w:line="271" w:lineRule="auto"/>
        <w:ind w:left="510" w:right="477"/>
        <w:jc w:val="both"/>
      </w:pPr>
      <w:r>
        <w:t>As at the date of preparation of this report, the Company assesses the probability of the occurrence of this risk is low and that, should this risk occur in the future, the scale of its negative impact on the Company's business activity, financial performance or perspectives would be significant.</w:t>
      </w:r>
    </w:p>
    <w:p w14:paraId="718F1AA1" w14:textId="003307FA" w:rsidR="00E1198C" w:rsidRDefault="00000000">
      <w:pPr>
        <w:spacing w:before="209"/>
        <w:ind w:left="510" w:firstLine="1"/>
        <w:jc w:val="both"/>
        <w:rPr>
          <w:i/>
          <w:sz w:val="19"/>
        </w:rPr>
      </w:pPr>
      <w:r>
        <w:rPr>
          <w:i/>
          <w:color w:val="D16E00"/>
          <w:sz w:val="19"/>
        </w:rPr>
        <w:t>Risk associated with losing key wholesalers or distributors of generic drugs, and as a consequence – end customers</w:t>
      </w:r>
    </w:p>
    <w:p w14:paraId="19FD7492" w14:textId="031A6F30" w:rsidR="00E1198C" w:rsidRDefault="00000000">
      <w:pPr>
        <w:pStyle w:val="Tekstpodstawowy"/>
        <w:spacing w:before="144" w:line="276" w:lineRule="auto"/>
        <w:ind w:left="510" w:right="475"/>
        <w:jc w:val="both"/>
      </w:pPr>
      <w:r>
        <w:t xml:space="preserve">Due to the regulations regarding the trade in pharmaceutical products, the Company cannot directly influence the purchasing decision of the final customers, i.e. patients, through advertisement. That is why, in terms of the scope of marketing products, the Company is dependent on wholesalers or distributors. In Poland, the Company sells its generic drugs mostly to pharmaceutical wholesalers. The Company cooperates with and delivers its products to 14 pharmaceutical wholesalers that account for over 95% of the Company's turnover from pharmaceuticals in Poland. Such wholesalers supply drug stores and hospitals directly or indirectly; most of them are sold nationwide. The three largest wholesalers in Poland account for approx. 70% of the Company's revenue generated in Poland. The fact that the majority of these wholesalers operate in drug stores across Poland limits the risk of a significant sales decline of Company's products to drug stores across Poland in the event of ceasing cooperation with one of such wholesalers. Outside of Poland, the distribution of the Company's products takes place through external business partners who are responsible for marketing and sale of the Company's drugs on foreign markets. The Company gives the partners the rights to distribute and sell the Company's products on territories which usually cover one or more countries, based on the concluded license agreements. </w:t>
      </w:r>
      <w:r w:rsidR="00650FD4">
        <w:t>Partners</w:t>
      </w:r>
      <w:r>
        <w:t xml:space="preserve"> rarely withdraw from such a cooperation voluntarily. However, discontinuing cooperation with a partner may result from situations such as the partner's bankruptcy or it being taken over by a different entity that may have its own competitive product and might want to replace the Company’s product. In such a case, the Company will be forced to look for a new partner, which – depending on the market – might be connected with a temporary decrease in sales of products on the given territory or might delay the Company’s entrance on the given market.</w:t>
      </w:r>
    </w:p>
    <w:p w14:paraId="2B6DD60A" w14:textId="77777777" w:rsidR="00E1198C" w:rsidRDefault="00000000">
      <w:pPr>
        <w:pStyle w:val="Tekstpodstawowy"/>
        <w:spacing w:before="126" w:line="276" w:lineRule="auto"/>
        <w:ind w:left="510" w:right="477"/>
        <w:jc w:val="both"/>
      </w:pPr>
      <w:r>
        <w:t>The Company limits dependence on its key wholesalers or distributors of generic drugs by diversifying such partners. There is a risk of losing one or more of such wholesale recipients. Losing one or more of such wholesale recipients or business partners may temporarily disrupt the process of distributing and selling drugs, and in consequence negatively impact their availability to final customers, meaning patients, which may negatively impact the Company’s financial situation. Moreover, lower revenues from generic drugs may have a negative impact on the financing of the Company's research activity.</w:t>
      </w:r>
    </w:p>
    <w:p w14:paraId="2FB8FEAC" w14:textId="77777777" w:rsidR="00E1198C" w:rsidRDefault="00000000">
      <w:pPr>
        <w:pStyle w:val="Tekstpodstawowy"/>
        <w:spacing w:before="121" w:line="271" w:lineRule="auto"/>
        <w:ind w:left="510" w:right="477"/>
        <w:jc w:val="both"/>
      </w:pPr>
      <w:r>
        <w:t>As at the date of preparation of this report, the Company assesses the probability of the occurrence of this risk is low and that, should this risk occur in the future, the scale of its negative impact on the Company's business activity, financial performance or perspectives would be significant.</w:t>
      </w:r>
    </w:p>
    <w:p w14:paraId="670ED96F" w14:textId="4F28B889" w:rsidR="00E1198C" w:rsidRDefault="00000000">
      <w:pPr>
        <w:spacing w:before="209"/>
        <w:ind w:left="511"/>
        <w:jc w:val="both"/>
        <w:rPr>
          <w:i/>
          <w:sz w:val="19"/>
        </w:rPr>
      </w:pPr>
      <w:r>
        <w:rPr>
          <w:i/>
          <w:color w:val="D16E00"/>
          <w:sz w:val="19"/>
        </w:rPr>
        <w:t>Risk associated with recruiting patients for clinical trials</w:t>
      </w:r>
    </w:p>
    <w:p w14:paraId="3FB86612" w14:textId="77777777" w:rsidR="00E1198C" w:rsidRDefault="00000000">
      <w:pPr>
        <w:pStyle w:val="Tekstpodstawowy"/>
        <w:spacing w:before="144" w:line="278" w:lineRule="auto"/>
        <w:ind w:left="510" w:right="476"/>
        <w:jc w:val="both"/>
      </w:pPr>
      <w:r>
        <w:t>The Company is dependent on recruiting patients for clinical trials for its new generic and innovative drugs. Patient recruitment depends on numerous factors, including the size and nature of the patient group, inclusion criteria for a given trial, proximity of the sites, the clinical trial protocol design, the existence of competitive clinical trials, availability of new drugs approved for the indication that is the subject of the clinical trial and the clinician's and patient's perception of potential benefits of the study drug compared to other available therapies. As some of the drugs developed by the Company focus on rare diseases and disorders, the Company can enroll a limited number of patients in order to complete its clinical trials in a timely and cost-effective manner. In the case of rare diseases or disorders, the Company is also competing for patients with competitive programs conducted by other entities. Additionally, studies performed on patients in</w:t>
      </w:r>
    </w:p>
    <w:p w14:paraId="203085DA" w14:textId="77777777" w:rsidR="00E1198C" w:rsidRDefault="00E1198C">
      <w:pPr>
        <w:spacing w:line="278" w:lineRule="auto"/>
        <w:jc w:val="both"/>
        <w:sectPr w:rsidR="00E1198C">
          <w:pgSz w:w="11900" w:h="16840"/>
          <w:pgMar w:top="820" w:right="320" w:bottom="920" w:left="300" w:header="0" w:footer="726" w:gutter="0"/>
          <w:cols w:space="708"/>
        </w:sectPr>
      </w:pPr>
    </w:p>
    <w:p w14:paraId="008BB059" w14:textId="750E9370" w:rsidR="00E1198C" w:rsidRDefault="00000000">
      <w:pPr>
        <w:pStyle w:val="Tekstpodstawowy"/>
        <w:spacing w:before="61" w:line="276" w:lineRule="auto"/>
        <w:ind w:left="510" w:right="472"/>
        <w:jc w:val="both"/>
      </w:pPr>
      <w:r>
        <w:lastRenderedPageBreak/>
        <w:t>clinical trials may also be limited or discontinued due to additional  regulator guidelines, including ethical committees that might require a change to the method of conducting trials, which in consequence may impact the timely completion of the clinical trial. The above events constitute a permanent risk in the Company's activity and they did happen in the past, resulting in a delay of innovative projects implemented by the Company in relation to their original schedule; such delays might also occur in the case of the currently implemented innovative projects.</w:t>
      </w:r>
    </w:p>
    <w:p w14:paraId="09F909FF" w14:textId="77777777" w:rsidR="00E1198C" w:rsidRDefault="00000000">
      <w:pPr>
        <w:pStyle w:val="Tekstpodstawowy"/>
        <w:spacing w:before="121" w:line="276" w:lineRule="auto"/>
        <w:ind w:left="510" w:right="475"/>
        <w:jc w:val="both"/>
      </w:pPr>
      <w:r>
        <w:t>Moreover, the Company's efforts aiming at establishing a relation with patient organizations as a part of recruiting patients for clinical trials might prove unsuccessful due to varying standards of care in different countries or varying opinions of the ethics committees analyzing the trials, which might cause delays in enrolling patients for such clinical trials. Moreover, any negative effects of the clinical trials for one of the potential drugs of the Company may hinder or make it impossible to recruit and keep patients in other clinical trials for this potential drug, as well as impact other projects of the Company due to the risk of a tarnished reputation.</w:t>
      </w:r>
    </w:p>
    <w:p w14:paraId="32012FF0" w14:textId="4B3B33A3" w:rsidR="00E1198C" w:rsidRDefault="00000000">
      <w:pPr>
        <w:pStyle w:val="Tekstpodstawowy"/>
        <w:spacing w:before="121" w:line="271" w:lineRule="auto"/>
        <w:ind w:left="510" w:right="477"/>
        <w:jc w:val="both"/>
      </w:pPr>
      <w:r>
        <w:t>As at the date of preparation of this report, the Company assesses the probability of the occurrence of this risk as moderate and that, should this risk occur in the future, the scale of its negative impact on the Company's business activity, financial performance or perspectives would be significant.</w:t>
      </w:r>
    </w:p>
    <w:p w14:paraId="7298E748" w14:textId="77777777" w:rsidR="00E1198C" w:rsidRDefault="00000000">
      <w:pPr>
        <w:pStyle w:val="Nagwek5"/>
        <w:spacing w:before="216"/>
      </w:pPr>
      <w:r>
        <w:rPr>
          <w:color w:val="F07D00"/>
        </w:rPr>
        <w:t>Risk of underestimation of costs related with development and commercialization of drugs</w:t>
      </w:r>
    </w:p>
    <w:p w14:paraId="6EEDBC96" w14:textId="77777777" w:rsidR="00E1198C" w:rsidRDefault="00000000" w:rsidP="00650FD4">
      <w:pPr>
        <w:pStyle w:val="Tekstpodstawowy"/>
        <w:spacing w:before="158"/>
        <w:ind w:left="510" w:right="476"/>
        <w:jc w:val="both"/>
      </w:pPr>
      <w:r>
        <w:t>The Company estimates the costs of each R&amp;D project concerning a new drug taking into consideration different scenarios, including the level of financing from own funds as well as external funds (e.g. grants), and the possibility of establishing relations with potential distributing partners. The possibility that the actual amount of costs of R&amp;D projects conducted by the Company will be significantly higher than originally anticipated cannot be excluded. The potential reasons for underestimation of costs of development of drugs and introduction of the developed drugs to the market might include:</w:t>
      </w:r>
    </w:p>
    <w:p w14:paraId="3168BFA7" w14:textId="77777777" w:rsidR="00E1198C" w:rsidRDefault="00000000" w:rsidP="00650FD4">
      <w:pPr>
        <w:pStyle w:val="Akapitzlist"/>
        <w:numPr>
          <w:ilvl w:val="0"/>
          <w:numId w:val="34"/>
        </w:numPr>
        <w:tabs>
          <w:tab w:val="left" w:pos="1228"/>
          <w:tab w:val="left" w:pos="1230"/>
        </w:tabs>
        <w:spacing w:before="132"/>
        <w:ind w:right="480"/>
        <w:jc w:val="both"/>
        <w:rPr>
          <w:sz w:val="18"/>
        </w:rPr>
      </w:pPr>
      <w:r>
        <w:rPr>
          <w:sz w:val="18"/>
        </w:rPr>
        <w:t>changes of regulations resulting in, among others, the necessity of changing the technology used by the Company or necessitating the incurring of additional expenditure and time for the Company to adjust to the new regulations</w:t>
      </w:r>
    </w:p>
    <w:p w14:paraId="1A8D3892" w14:textId="77777777" w:rsidR="00E1198C" w:rsidRDefault="00000000" w:rsidP="00650FD4">
      <w:pPr>
        <w:pStyle w:val="Akapitzlist"/>
        <w:numPr>
          <w:ilvl w:val="0"/>
          <w:numId w:val="34"/>
        </w:numPr>
        <w:tabs>
          <w:tab w:val="left" w:pos="1230"/>
        </w:tabs>
        <w:spacing w:before="122"/>
        <w:ind w:hanging="360"/>
        <w:rPr>
          <w:sz w:val="18"/>
        </w:rPr>
      </w:pPr>
      <w:r>
        <w:rPr>
          <w:sz w:val="18"/>
        </w:rPr>
        <w:t>the necessity to expand the scope of clinical trials</w:t>
      </w:r>
    </w:p>
    <w:p w14:paraId="36BFF6C8" w14:textId="77777777" w:rsidR="00E1198C" w:rsidRDefault="00000000" w:rsidP="00650FD4">
      <w:pPr>
        <w:pStyle w:val="Akapitzlist"/>
        <w:numPr>
          <w:ilvl w:val="0"/>
          <w:numId w:val="34"/>
        </w:numPr>
        <w:tabs>
          <w:tab w:val="left" w:pos="1230"/>
        </w:tabs>
        <w:spacing w:before="152"/>
        <w:ind w:hanging="360"/>
        <w:rPr>
          <w:sz w:val="18"/>
        </w:rPr>
      </w:pPr>
      <w:r>
        <w:rPr>
          <w:sz w:val="18"/>
        </w:rPr>
        <w:t>the increase of costs related to the purchase of raw materials or active substances</w:t>
      </w:r>
    </w:p>
    <w:p w14:paraId="7D6B23E7" w14:textId="77777777" w:rsidR="00E1198C" w:rsidRDefault="00000000" w:rsidP="00650FD4">
      <w:pPr>
        <w:pStyle w:val="Akapitzlist"/>
        <w:numPr>
          <w:ilvl w:val="0"/>
          <w:numId w:val="34"/>
        </w:numPr>
        <w:tabs>
          <w:tab w:val="left" w:pos="1228"/>
          <w:tab w:val="left" w:pos="1230"/>
        </w:tabs>
        <w:spacing w:before="151"/>
        <w:ind w:right="481"/>
        <w:jc w:val="both"/>
        <w:rPr>
          <w:sz w:val="18"/>
        </w:rPr>
      </w:pPr>
      <w:r>
        <w:rPr>
          <w:sz w:val="18"/>
        </w:rPr>
        <w:t>shortage or decrease of the quality of raw materials and materials used for manufacturing drugs. The above-mentioned events constitute a constant risk in the Company’s activity and in the past there were indeed cases when the planned budged for a given project was exceeded in relation to, for instance, underestimation of costs or increasing the scale of the project during its course.</w:t>
      </w:r>
    </w:p>
    <w:p w14:paraId="124D5F8A" w14:textId="77777777" w:rsidR="00E1198C" w:rsidRDefault="00000000" w:rsidP="00650FD4">
      <w:pPr>
        <w:pStyle w:val="Tekstpodstawowy"/>
        <w:spacing w:before="120"/>
        <w:ind w:left="510" w:right="478"/>
        <w:jc w:val="both"/>
      </w:pPr>
      <w:r>
        <w:t>This risk may also concern the Company's currently implemented innovative projects, whereas the possible scale of underestimation of costs can be estimated only after the projects in question have been completed. Moreover, as the development stages of the Company's innovative projects are becoming more advanced and time-consuming, the frequency of these events may increase in the future.</w:t>
      </w:r>
    </w:p>
    <w:p w14:paraId="3D56E61C" w14:textId="3938C91C" w:rsidR="00E1198C" w:rsidRDefault="00000000" w:rsidP="00650FD4">
      <w:pPr>
        <w:pStyle w:val="Tekstpodstawowy"/>
        <w:spacing w:before="131"/>
        <w:ind w:left="510" w:right="477"/>
        <w:jc w:val="both"/>
      </w:pPr>
      <w:r>
        <w:t>As at the date of preparation of this report, the Company assesses the probability of the occurrence of this risk as moderate and that, should this risk occur in the future, the scale of its negative impact on the Company's business activity, financial performance or perspectives would be significant.</w:t>
      </w:r>
    </w:p>
    <w:p w14:paraId="49C683C2" w14:textId="77777777" w:rsidR="00E1198C" w:rsidRDefault="00000000">
      <w:pPr>
        <w:pStyle w:val="Nagwek5"/>
        <w:spacing w:before="217"/>
      </w:pPr>
      <w:r>
        <w:rPr>
          <w:color w:val="F07D00"/>
        </w:rPr>
        <w:t>Risk of withdrawal of marketing authorization of certain drugs manufactured by the Company or of their marketing being suspended</w:t>
      </w:r>
    </w:p>
    <w:p w14:paraId="5FB97D2B" w14:textId="77777777" w:rsidR="00E1198C" w:rsidRDefault="00000000" w:rsidP="00650FD4">
      <w:pPr>
        <w:pStyle w:val="Tekstpodstawowy"/>
        <w:spacing w:before="146"/>
        <w:ind w:left="510" w:right="474"/>
        <w:jc w:val="both"/>
      </w:pPr>
      <w:r>
        <w:t>Prior to the introduction of each drug to the market, the Company must obtain marketing authorization for each drug, separately for each market where the Company is planning to distribute the given drug, including from the appropriate national body in the case of authorization in EU member states, of the European Medicines Agency (EMA) in the case of marketing authorization in the entire territory of the EU (centralized procedure) or of the Food and Drug Agency (FDA) in the US. There is a safety of medicinal products committee operating in the EMA. In the event of issues with the safety of a medicinal product that was authorized for marketing in more than one member state, within the entire EU territory, the same regulatory activities are undertaken, and the patients and health care workers in all member states receive identical guidelines. In cases specified by the law, the competent authority has the right to withdraw a drug's marketing authorization. Withdrawal of the marketing authorization of a given medicinal product of the Company would have a negative impact on the Company's development perspective and the obtained financial results. Moreover, in certain circumstances (e.g. in the case of a justified suspicion regarding safety of the products), the appropriate supervisory authorities, including a voivodeship (regional) pharmaceutical inspectorate in Poland may issue a decision suspending the marketing of certain batches of a medicinal product, which may have a negative impact on the Company’s development prospects and the obtained financial results.</w:t>
      </w:r>
    </w:p>
    <w:p w14:paraId="6A03D6B3" w14:textId="5288094B" w:rsidR="00E1198C" w:rsidRDefault="00000000" w:rsidP="00650FD4">
      <w:pPr>
        <w:pStyle w:val="Tekstpodstawowy"/>
        <w:spacing w:before="119"/>
        <w:ind w:left="510" w:right="477"/>
        <w:jc w:val="both"/>
      </w:pPr>
      <w:r>
        <w:t>As at the date of preparation of this report, the Company assesses the probability of the occurrence of this risk as moderate and that, should this risk occur in the future, the scale of its negative impact on the Company's business activity, financial performance or perspectives would be significant.</w:t>
      </w:r>
    </w:p>
    <w:p w14:paraId="30508970" w14:textId="77777777" w:rsidR="00E1198C" w:rsidRDefault="00000000">
      <w:pPr>
        <w:pStyle w:val="Nagwek5"/>
        <w:spacing w:before="195"/>
      </w:pPr>
      <w:r>
        <w:rPr>
          <w:color w:val="F07D00"/>
        </w:rPr>
        <w:t>Risk associated with the Company being unable to enter new markets or to expand its presence on the existing markets</w:t>
      </w:r>
    </w:p>
    <w:p w14:paraId="1CB5638F" w14:textId="77777777" w:rsidR="00E1198C" w:rsidRDefault="00000000" w:rsidP="00650FD4">
      <w:pPr>
        <w:pStyle w:val="Tekstpodstawowy"/>
        <w:spacing w:before="157"/>
        <w:ind w:left="510" w:right="472"/>
        <w:jc w:val="both"/>
      </w:pPr>
      <w:r>
        <w:t xml:space="preserve">One of the main objectives of the Company is to sell drugs on the global markets, independently or through a pharmaceutical partner, that were developed and manufactured by the Company, including primarily markets of the UE member states and the United States of America. This is connected with the obligation for these drugs to be registered by the applicable authorities – EMA and FDA, respectively, as well as an obligation to use the applicable </w:t>
      </w:r>
      <w:proofErr w:type="spellStart"/>
      <w:r>
        <w:t>GMP</w:t>
      </w:r>
      <w:proofErr w:type="spellEnd"/>
      <w:r>
        <w:t xml:space="preserve"> quality system that describes the minimal standards to be met by the drug manufacturer during the manufacturing process. There is</w:t>
      </w:r>
    </w:p>
    <w:p w14:paraId="75B91E91" w14:textId="77777777" w:rsidR="00E1198C" w:rsidRDefault="00E1198C">
      <w:pPr>
        <w:spacing w:line="273" w:lineRule="auto"/>
        <w:jc w:val="both"/>
        <w:sectPr w:rsidR="00E1198C">
          <w:pgSz w:w="11900" w:h="16840"/>
          <w:pgMar w:top="820" w:right="320" w:bottom="920" w:left="300" w:header="0" w:footer="726" w:gutter="0"/>
          <w:cols w:space="708"/>
        </w:sectPr>
      </w:pPr>
    </w:p>
    <w:p w14:paraId="59D694AA" w14:textId="47D95F15" w:rsidR="00E1198C" w:rsidRDefault="00000000">
      <w:pPr>
        <w:pStyle w:val="Tekstpodstawowy"/>
        <w:spacing w:before="61" w:line="276" w:lineRule="auto"/>
        <w:ind w:left="510" w:right="475"/>
        <w:jc w:val="both"/>
      </w:pPr>
      <w:r>
        <w:lastRenderedPageBreak/>
        <w:t>a risk that in the case of, for example, failure to adjust the products to the applicable requirements, procedural changes or mistakes in documentation, the process of registering drugs might be delayed or end with a refusal. Moreover, there is a risk that the appropriate regulatory requirements adopted by each of the relevant authorities will be significantly changed, which might cause the Company to incur additional costs or face the risk of annulment of the marketing authorization. The factors above might negatively impact the Company's activity, financial performance or prospects. Moreover, there is a risk that cooperation with a partner responsible for registering the drug in a given territory will be unsuccessful, which might cause the necessity of finding a new partner and, as a result, a delay or withdrawal of the Company from entering such a new market.</w:t>
      </w:r>
    </w:p>
    <w:p w14:paraId="18121E7E" w14:textId="7921847D" w:rsidR="00E1198C" w:rsidRDefault="00000000">
      <w:pPr>
        <w:pStyle w:val="Tekstpodstawowy"/>
        <w:spacing w:before="122" w:line="271" w:lineRule="auto"/>
        <w:ind w:left="510" w:right="477"/>
        <w:jc w:val="both"/>
      </w:pPr>
      <w:r>
        <w:t>As at the date of preparation of this report, the Company assesses the probability of the occurrence of this risk as moderate and that, should this risk occur in the future, the scale of its negative impact on the Company's business activity, financial performance or perspectives would be significant.</w:t>
      </w:r>
    </w:p>
    <w:p w14:paraId="0A288E5C" w14:textId="77777777" w:rsidR="00E1198C" w:rsidRDefault="00000000">
      <w:pPr>
        <w:pStyle w:val="Nagwek5"/>
        <w:spacing w:before="217"/>
      </w:pPr>
      <w:r>
        <w:rPr>
          <w:color w:val="F07D00"/>
        </w:rPr>
        <w:t>Risk of adverse effects caused by the Company's products and the risk of liability for products</w:t>
      </w:r>
    </w:p>
    <w:p w14:paraId="50EA16F1" w14:textId="77777777" w:rsidR="00E1198C" w:rsidRDefault="00000000">
      <w:pPr>
        <w:pStyle w:val="Tekstpodstawowy"/>
        <w:spacing w:before="157" w:line="276" w:lineRule="auto"/>
        <w:ind w:left="510" w:right="477"/>
        <w:jc w:val="both"/>
      </w:pPr>
      <w:r>
        <w:t>The Company cannot exclude a situation where some of the Company's drugs and medicinal products, as well as the potential new products, demonstrate undesired or unintended adverse effects, toxicity or other features that might result in preventing the Company from receiving additional marketing authorizations, withdrawing marketing authorization or preventing or limiting the commercial use of the given drug. If such adverse effects are identified during the development works on the Company's potential products, the Company might be forced to refrain from further development works on such products. If the adverse effects occur after the drug registration, the marketing profile of such approved drug might be limited or the Company might face other significant consequences, such as claims due to the liability for the product. In the case of drugs authorized for marketing in the EU, based on the scientific assessment conducted by the European Medicines Agency, the European Committee may grant marketing authorization, refuse to grant it, change its terms, as well as suspend the marketing authorization, it may also undertake an activity on the European-wide scale in the event of issues with the safety of the product which had been granted a national marketing authorization. However, the Company notes that the risk of adverse effects caused by the Company's products is constant and it might be one of the most significant risks for pharmaceutical companies, in particular due to the reason that some adverse effects may be revealed only after a relatively long time or their significance might be underestimated during the works on the drug.</w:t>
      </w:r>
    </w:p>
    <w:p w14:paraId="3F7F0C3E" w14:textId="77777777" w:rsidR="00E1198C" w:rsidRDefault="00000000">
      <w:pPr>
        <w:pStyle w:val="Tekstpodstawowy"/>
        <w:spacing w:before="114" w:line="276" w:lineRule="auto"/>
        <w:ind w:left="510" w:right="476"/>
        <w:jc w:val="both"/>
      </w:pPr>
      <w:r>
        <w:t>In cases in which using medicinal products of the Company will have negative impact on the client's health, the authorization for commercialization of the Company’s products might be withdrawn or might result in the injured party claiming damages from the Company in the course of civil proceedings, which might result in liability for damages. Moreover, in such a case, the Company may also be liable due to the sale of dangerous products. There are many factors that might cause the products to be deemed as dangerous, including the manner of introducing them to the market or the manner of providing information on the product characteristics to consumers. The necessity to satisfy all or part of the damages claims directed against the Company may have a negative effect on the Company's business activity, financial performance or prospects. Moreover, in certain circumstances, the Company or its Management Board may face administrative or criminal charges in the case when the Company’s drugs cause harm to patients. All of the above-mentioned events may negatively affect the Company’s reputation, its image and result in a negative perception of its products.</w:t>
      </w:r>
    </w:p>
    <w:p w14:paraId="57472E1F" w14:textId="28A1D05D" w:rsidR="00E1198C" w:rsidRDefault="00000000" w:rsidP="00650FD4">
      <w:pPr>
        <w:pStyle w:val="Tekstpodstawowy"/>
        <w:spacing w:before="123" w:line="271" w:lineRule="auto"/>
        <w:ind w:left="510" w:right="477"/>
        <w:jc w:val="both"/>
      </w:pPr>
      <w:r>
        <w:t>As at the date of preparation of this report, the Company assesses the probability of the occurrence of this risk as moderate and that, should this risk occur in the future, the scale of its negative impact on the Company's business activity, financial performance or perspectives would be significant.</w:t>
      </w:r>
    </w:p>
    <w:p w14:paraId="60C13027" w14:textId="77777777" w:rsidR="00E1198C" w:rsidRDefault="00000000">
      <w:pPr>
        <w:pStyle w:val="Nagwek5"/>
        <w:ind w:left="510" w:firstLine="1"/>
      </w:pPr>
      <w:r>
        <w:rPr>
          <w:color w:val="F07D00"/>
        </w:rPr>
        <w:t>Risk associated with other pharmaceutical companies discovering and marketing of other drugs used in the same indications as the Company's drugs</w:t>
      </w:r>
    </w:p>
    <w:p w14:paraId="6E6140A6" w14:textId="77777777" w:rsidR="00E1198C" w:rsidRDefault="00000000">
      <w:pPr>
        <w:pStyle w:val="Tekstpodstawowy"/>
        <w:spacing w:before="158" w:line="276" w:lineRule="auto"/>
        <w:ind w:left="510" w:right="477"/>
        <w:jc w:val="both"/>
      </w:pPr>
      <w:r>
        <w:t>Neuropsychiatry, metabolic diseases, inflammatory diseases and oncology, which are the key areas of the Company’s activity, are being heavily researched in biomedical sciences. The dynamic development in the area of genetics and molecular biology has a significant impact on the acceleration of efforts to develop next-generation drugs. This results in a risk that new drugs characterized by an advantage in terms of effectiveness or tolerability over the drugs which are currently manufactured or developed by the Company will be marketed within the next few years. Furthermore, there is a risk that new treatment methods are discovered – e.g. vaccines intended against disorders treated with the use of drugs offered by the Company, either currently or in the future. The emergence of new, more advanced, more effective or cheaper drugs and treatment methods in areas which are the focus of the Company's activity could have a negative impact on the Company's business activity, financial performance or prospects.</w:t>
      </w:r>
    </w:p>
    <w:p w14:paraId="23FA2382" w14:textId="7F6BC036" w:rsidR="00E1198C" w:rsidRDefault="00000000">
      <w:pPr>
        <w:pStyle w:val="Tekstpodstawowy"/>
        <w:spacing w:before="116" w:line="271" w:lineRule="auto"/>
        <w:ind w:left="510" w:right="477"/>
        <w:jc w:val="both"/>
      </w:pPr>
      <w:r>
        <w:t>As at the date of preparation of this report, the Company assesses the probability of the occurrence of this risk as moderate and that, should this risk occur in the future, the scale of its negative impact on the Company's business activity, financial performance or perspectives would be significant.</w:t>
      </w:r>
    </w:p>
    <w:p w14:paraId="4E30E7CD" w14:textId="77777777" w:rsidR="00E1198C" w:rsidRDefault="00000000">
      <w:pPr>
        <w:pStyle w:val="Nagwek5"/>
        <w:spacing w:before="217"/>
      </w:pPr>
      <w:r>
        <w:rPr>
          <w:color w:val="F07D00"/>
        </w:rPr>
        <w:t>Risk associated with lack of possibility to commercialize the Company’s innovative drugs</w:t>
      </w:r>
    </w:p>
    <w:p w14:paraId="45397871" w14:textId="77777777" w:rsidR="00E1198C" w:rsidRDefault="00000000">
      <w:pPr>
        <w:pStyle w:val="Tekstpodstawowy"/>
        <w:spacing w:before="158" w:line="276" w:lineRule="auto"/>
        <w:ind w:left="510" w:right="476"/>
        <w:jc w:val="both"/>
      </w:pPr>
      <w:r>
        <w:t>The Company’s activity in the area of innovative drugs is largely based on the identification of leading compounds which have the potential to be developed into innovative drugs. The value of the Company’s innovative drug projects depends on whether therapeutic actions, administration methods, better tolerability, or new medical applications of such drugs are demonstrated compared to the currently available treatment options. As at today,</w:t>
      </w:r>
    </w:p>
    <w:p w14:paraId="48CE6024" w14:textId="77777777" w:rsidR="00E1198C" w:rsidRDefault="00E1198C">
      <w:pPr>
        <w:spacing w:line="276" w:lineRule="auto"/>
        <w:jc w:val="both"/>
        <w:sectPr w:rsidR="00E1198C">
          <w:pgSz w:w="11900" w:h="16840"/>
          <w:pgMar w:top="820" w:right="320" w:bottom="920" w:left="300" w:header="0" w:footer="726" w:gutter="0"/>
          <w:cols w:space="708"/>
        </w:sectPr>
      </w:pPr>
    </w:p>
    <w:p w14:paraId="304B1DCB" w14:textId="63B9DD4A" w:rsidR="00E1198C" w:rsidRDefault="00000000">
      <w:pPr>
        <w:pStyle w:val="Tekstpodstawowy"/>
        <w:spacing w:before="61" w:line="276" w:lineRule="auto"/>
        <w:ind w:left="510" w:right="473"/>
        <w:jc w:val="both"/>
      </w:pPr>
      <w:r>
        <w:lastRenderedPageBreak/>
        <w:t>results of those works on the projects in question are difficult to access. Therefore, there is a risk that they will not prove to be as beneficial as anticipated, and that their commercialization will be hindered. For example, the Company might not be able to grant licenses for its innovations or might come across difficulties in finding partners which would be suitable (in terms of geographic or trade aspects) to commercialize such projects or might find it difficult to agree on satisfactory cooperation terms with such partners. Furthermore, commercialized projects might fail to achieve the anticipated milestones or performance which might have a negative impact on the Company's business activity, financial performance or prospects. Moreover, the Company's innovative projects, including the Falkieri project, are, or might become, the subject of partnering talks with potential external partners. Negotiations with such partners might not be finalized within the initially assumed time frame or the course of talks with partners might encourage the Company to analyze alternative commercialization scenarios, including independent commercialization directly by the Company in all or selected territories. This might have a negative impact on the Company's business activity, financial performance or prospects, in particular with regard to planning the financing of the Company's activity and other innovative projects in situations where the obtained financing proves to be insufficient.</w:t>
      </w:r>
    </w:p>
    <w:p w14:paraId="4CC2D0FB" w14:textId="6C6B3B85" w:rsidR="00E1198C" w:rsidRDefault="00000000">
      <w:pPr>
        <w:pStyle w:val="Tekstpodstawowy"/>
        <w:spacing w:before="118" w:line="283" w:lineRule="auto"/>
        <w:ind w:left="510" w:right="477"/>
        <w:jc w:val="both"/>
      </w:pPr>
      <w:r>
        <w:t>As at the date of preparation of this report, the Company assesses the probability of the occurrence of this risk as moderate and that, should this risk occur in the future, the scale of its negative impact on the Company's business activity, financial performance or perspectives would be significant.</w:t>
      </w:r>
    </w:p>
    <w:p w14:paraId="68D81E06" w14:textId="77777777" w:rsidR="00E1198C" w:rsidRDefault="00000000">
      <w:pPr>
        <w:pStyle w:val="Nagwek5"/>
        <w:spacing w:before="206"/>
      </w:pPr>
      <w:r>
        <w:rPr>
          <w:color w:val="F07D00"/>
        </w:rPr>
        <w:t>Risk associated with reimbursement of drugs</w:t>
      </w:r>
    </w:p>
    <w:p w14:paraId="4604BB26" w14:textId="68D73CC6" w:rsidR="00E1198C" w:rsidRDefault="00000000">
      <w:pPr>
        <w:pStyle w:val="Tekstpodstawowy"/>
        <w:spacing w:before="146" w:line="276" w:lineRule="auto"/>
        <w:ind w:left="510" w:right="478"/>
        <w:jc w:val="both"/>
      </w:pPr>
      <w:r>
        <w:t xml:space="preserve">As at the date of this report, drugs included in the Company's portfolio with the exception of </w:t>
      </w:r>
      <w:proofErr w:type="spellStart"/>
      <w:r>
        <w:t>Lazivir</w:t>
      </w:r>
      <w:proofErr w:type="spellEnd"/>
      <w:r>
        <w:t xml:space="preserve"> are listed as reimbursed drugs, i.e. drugs financed in part or in full from public funds, as determined by the Polish Minister of Health or other foreign regulatory bodies in certain other jurisdictions.</w:t>
      </w:r>
    </w:p>
    <w:p w14:paraId="3E8C7B05" w14:textId="77777777" w:rsidR="00E1198C" w:rsidRDefault="00000000">
      <w:pPr>
        <w:pStyle w:val="Tekstpodstawowy"/>
        <w:spacing w:before="120" w:line="276" w:lineRule="auto"/>
        <w:ind w:left="510" w:right="475"/>
        <w:jc w:val="both"/>
      </w:pPr>
      <w:r>
        <w:t>In most jurisdictions, the market of drugs, in particular reimbursed drugs, is subject to detailed regulations. On their basis the list of reimbursed drugs, the scope of reimbursement, including pricing and reimbursement level are determined. After marketing authorization has been granted on the EU level, pricing and reimbursement decisions are taken at the level of individual member states; this decision-making takes into account the potential role and application of the given medicinal product in the context of the given country's state healthcare system. Unfavorable changes of those regulations in individual member states (e.g. reducing the level of reimbursement or removing the Company's products from the list of reimbursed drugs) might have a negative impact on the sale of the Company’s products and thus negatively affect the Company's business activity, financial performance or prospects.</w:t>
      </w:r>
    </w:p>
    <w:p w14:paraId="2E583CF8" w14:textId="77777777" w:rsidR="00E1198C" w:rsidRDefault="00000000">
      <w:pPr>
        <w:pStyle w:val="Tekstpodstawowy"/>
        <w:spacing w:before="122" w:line="271" w:lineRule="auto"/>
        <w:ind w:left="510" w:right="477"/>
        <w:jc w:val="both"/>
      </w:pPr>
      <w:r>
        <w:t>As at the date of preparation of this report, the Company assesses the probability of the occurrence of this risk as low and that, should this risk occur in the future, the scale of its negative impact on the Company's business activity, financial performance or perspectives would be significant.</w:t>
      </w:r>
    </w:p>
    <w:p w14:paraId="0A27BAE2" w14:textId="77777777" w:rsidR="00E1198C" w:rsidRDefault="00000000">
      <w:pPr>
        <w:pStyle w:val="Nagwek5"/>
        <w:spacing w:before="216"/>
      </w:pPr>
      <w:r>
        <w:rPr>
          <w:color w:val="F07D00"/>
        </w:rPr>
        <w:t>Risk associated with disputes related to industrial and intellectual property rights</w:t>
      </w:r>
    </w:p>
    <w:p w14:paraId="313919D6" w14:textId="77777777" w:rsidR="00E1198C" w:rsidRDefault="00000000" w:rsidP="00650FD4">
      <w:pPr>
        <w:pStyle w:val="Tekstpodstawowy"/>
        <w:spacing w:before="147"/>
        <w:ind w:left="510" w:right="474"/>
        <w:jc w:val="both"/>
      </w:pPr>
      <w:r>
        <w:t>Regulations on industrial and intellectual property rights and protection of those rights play a significant role in the Company's business activity. The Company cannot guarantee that its business activity will not lead to the violation of third party intellectual property rights. In such situations, it cannot be excluded that third parties will pursue claims against the Company for violation of industrial and intellectual property rights (in particular patents), in particular at the level of research and at the level of obtaining marketing authorization for the Company’s medicinal products. Such claims being pursued, even if they are groundless, might have a negative impact on the time needed to obtain the aforementioned marketing authorization and defending against such claims might necessitate the incurring of significant costs, which might have a negative impact on the Company's business activity, financial performance or prospects.</w:t>
      </w:r>
    </w:p>
    <w:p w14:paraId="76A1073F" w14:textId="77777777" w:rsidR="00E1198C" w:rsidRDefault="00000000" w:rsidP="00650FD4">
      <w:pPr>
        <w:pStyle w:val="Tekstpodstawowy"/>
        <w:spacing w:before="110"/>
        <w:ind w:left="510" w:right="478"/>
        <w:jc w:val="both"/>
      </w:pPr>
      <w:r>
        <w:t>Effectively pursued claims on the violation of any third-party rights against the Company or the Company's failure to effectively pursue claims on the violation on the Company's rights by third parties might have a negative impact on the Company's business activity, financial performance or prospects. For instance, GSK's claims pursued in 2018 resulted in suspended distribution of Salmex on foreign markets in 2019 and reduced the Company's revenues from the sale of this drug on certain foreign markets. Although, in January 2020, the Company, GSK, and the Glenmark Group concluded a settlement under which the Company and Glenmark could continue sales of Salmex in Poland and on selected European markets, the Company cannot guarantee that it will not be sued for the violation of other trademark and copyright protection rights by companies in the GSK group or by other entities in the future.</w:t>
      </w:r>
    </w:p>
    <w:p w14:paraId="1A9FFA4B" w14:textId="77777777" w:rsidR="00E1198C" w:rsidRDefault="00000000" w:rsidP="00650FD4">
      <w:pPr>
        <w:pStyle w:val="Tekstpodstawowy"/>
        <w:spacing w:before="122"/>
        <w:ind w:left="510" w:right="477"/>
        <w:jc w:val="both"/>
      </w:pPr>
      <w:r>
        <w:t>As at the date of preparation of this report, the Company assesses the probability of the occurrence of this risk as low and that, should this risk occur in the future, the scale of its negative impact on the Company's business activity, financial performance or perspectives would be significant.</w:t>
      </w:r>
    </w:p>
    <w:p w14:paraId="0651D336" w14:textId="77777777" w:rsidR="00E1198C" w:rsidRDefault="00000000">
      <w:pPr>
        <w:pStyle w:val="Nagwek5"/>
        <w:spacing w:before="217"/>
      </w:pPr>
      <w:r>
        <w:rPr>
          <w:color w:val="F07D00"/>
        </w:rPr>
        <w:t>Risk associated with refusal to grant patent protection and risk associated with withdrawal of patent protection</w:t>
      </w:r>
    </w:p>
    <w:p w14:paraId="0C20686E" w14:textId="77777777" w:rsidR="00E1198C" w:rsidRDefault="00000000" w:rsidP="00650FD4">
      <w:pPr>
        <w:pStyle w:val="Tekstpodstawowy"/>
        <w:spacing w:before="146"/>
        <w:ind w:left="510" w:right="476"/>
        <w:jc w:val="both"/>
      </w:pPr>
      <w:r>
        <w:t>Patents and other intellectual property rights held by the Company might not ensure sufficient protection of its technologies and products which might limit the Company's effective advantage on the market. The Company's success is to a certain extent dependent on its capacity to obtain, maintain and enforce patents and other intellectual property rights regarding the Company's technologies and products, in Poland, the EU and other countries. The Polish Patent Office, the European Patent Office and patent offices in other countries require the compliance with a number of provisions on the incurring of fees and other similar provisions in the course of applying for the patent. Although in many cases, accidental expiry of a protection right can be remedied by way of paying a fee for late payment or in a different manner, in accordance with applicable provisions of law, there are certain situations where failure to comply with provisions might result in the rejection or expiry of a patent or a patent application, which leads to the loss of patent rights in a given legal system either in part or in full. Violations of provisions</w:t>
      </w:r>
    </w:p>
    <w:p w14:paraId="52530513" w14:textId="77777777" w:rsidR="00E1198C" w:rsidRDefault="00E1198C">
      <w:pPr>
        <w:spacing w:line="278" w:lineRule="auto"/>
        <w:jc w:val="both"/>
        <w:sectPr w:rsidR="00E1198C">
          <w:pgSz w:w="11900" w:h="16840"/>
          <w:pgMar w:top="820" w:right="320" w:bottom="920" w:left="300" w:header="0" w:footer="726" w:gutter="0"/>
          <w:cols w:space="708"/>
        </w:sectPr>
      </w:pPr>
    </w:p>
    <w:p w14:paraId="55F67DD2" w14:textId="244361A8" w:rsidR="00E1198C" w:rsidRDefault="00000000">
      <w:pPr>
        <w:pStyle w:val="Tekstpodstawowy"/>
        <w:spacing w:before="61" w:line="276" w:lineRule="auto"/>
        <w:ind w:left="510" w:right="475"/>
        <w:jc w:val="both"/>
      </w:pPr>
      <w:r>
        <w:lastRenderedPageBreak/>
        <w:t>which might result in the rejection or expiry in a patent of patent application include failure to respond to official actions within a prescribed time frame, failure to make payments or irregularities in the actions taken to secure patent protection, including failure to submit all the formally required documents.</w:t>
      </w:r>
    </w:p>
    <w:p w14:paraId="6C45CBE9" w14:textId="77777777" w:rsidR="00E1198C" w:rsidRDefault="00000000">
      <w:pPr>
        <w:pStyle w:val="Tekstpodstawowy"/>
        <w:spacing w:before="120" w:line="276" w:lineRule="auto"/>
        <w:ind w:left="510" w:right="474"/>
        <w:jc w:val="both"/>
      </w:pPr>
      <w:r>
        <w:t>Furthermore, the granting, scope, validity, enforceability and trade value of the Company’s patent rights cannot be taken for granted because the Company’s currently examined and future patent applications might not result in the granting of patent protection to the Company’s technologies or products, in full or in part, or which would effectively prevent other companies from commercializing competitive technologies and products. Changes to patent law or interpretations of patent law in Poland and other countries might reduce the value of the patents held by the Company or reduce the scope of the patent protection they provide.</w:t>
      </w:r>
    </w:p>
    <w:p w14:paraId="4CAC95B1" w14:textId="77777777" w:rsidR="00E1198C" w:rsidRDefault="00000000">
      <w:pPr>
        <w:pStyle w:val="Tekstpodstawowy"/>
        <w:spacing w:before="121" w:line="283" w:lineRule="auto"/>
        <w:ind w:left="510" w:right="481"/>
        <w:jc w:val="both"/>
      </w:pPr>
      <w:r>
        <w:t>As at the date of preparation of this report, the Company assesses the probability of the occurrence of this risk as moderate and that, should this risk occur in the future, its negative impact on the Company's business activity, financial performance or perspectives would be significant.</w:t>
      </w:r>
    </w:p>
    <w:p w14:paraId="13F77E72" w14:textId="77777777" w:rsidR="00E1198C" w:rsidRDefault="00000000">
      <w:pPr>
        <w:pStyle w:val="Nagwek5"/>
        <w:spacing w:before="194"/>
      </w:pPr>
      <w:r>
        <w:rPr>
          <w:color w:val="F07D00"/>
        </w:rPr>
        <w:t>Foreign exchange risk</w:t>
      </w:r>
    </w:p>
    <w:p w14:paraId="18BA9869" w14:textId="77777777" w:rsidR="00E1198C" w:rsidRDefault="00000000">
      <w:pPr>
        <w:pStyle w:val="Tekstpodstawowy"/>
        <w:spacing w:before="158" w:line="276" w:lineRule="auto"/>
        <w:ind w:left="510" w:right="477"/>
        <w:jc w:val="both"/>
      </w:pPr>
      <w:r>
        <w:t>Most machines and devices, laboratory equipment, active substances required for manufacturing and reagents for conducting research are bought from foreign suppliers at prices determined in foreign currencies, including in particular EUR and USD. Unfavorable currency exchange changes (the weakening of the Polish currency in relation to foreign currencies) might have a negative impact on the level of the Company's investment outlays and might result in increased costs of manufacturing products and conducting R&amp;D works, which in turn may negatively affect the Company's financial performance. To date, usually the Company's revenues and expenditure in foreign currencies balance out, as the Company generates revenue in EUR on account of exporting its drugs. However, the Company's revenues in foreign currencies are on the rise and the Company anticipates that they will continue to increase as the Company's planned development on foreign markets continues. That will be associated with greater exposure to currency exchange changes in the future, in particular given the fact that most of the Company’s costs are incurred and most likely will continue to be incurred in PLN.</w:t>
      </w:r>
    </w:p>
    <w:p w14:paraId="4975A213" w14:textId="480628D2" w:rsidR="00E1198C" w:rsidRDefault="00000000">
      <w:pPr>
        <w:pStyle w:val="Tekstpodstawowy"/>
        <w:spacing w:before="123" w:line="271" w:lineRule="auto"/>
        <w:ind w:left="510" w:right="477"/>
        <w:jc w:val="both"/>
      </w:pPr>
      <w:r>
        <w:t>As at the date of preparation of this report, the Company assesses the probability of the occurrence of this risk as moderate and that, should this risk occur in the future, the scale of its negative impact on the Company's business activity, financial performance or perspectives would be significant.</w:t>
      </w:r>
    </w:p>
    <w:p w14:paraId="40D79A01" w14:textId="342E89F3" w:rsidR="00E1198C" w:rsidRDefault="00000000">
      <w:pPr>
        <w:pStyle w:val="Nagwek5"/>
        <w:spacing w:before="217"/>
      </w:pPr>
      <w:r>
        <w:rPr>
          <w:color w:val="F07D00"/>
        </w:rPr>
        <w:t>Risk of price change</w:t>
      </w:r>
    </w:p>
    <w:p w14:paraId="2A3BEFCE" w14:textId="786F1062" w:rsidR="00E1198C" w:rsidRDefault="008E7DA7">
      <w:pPr>
        <w:pStyle w:val="Tekstpodstawowy"/>
        <w:spacing w:before="146" w:line="276" w:lineRule="auto"/>
        <w:ind w:left="510" w:right="478"/>
        <w:jc w:val="both"/>
      </w:pPr>
      <w:r>
        <w:rPr>
          <w:noProof/>
        </w:rPr>
        <w:drawing>
          <wp:anchor distT="0" distB="0" distL="0" distR="0" simplePos="0" relativeHeight="251653632" behindDoc="1" locked="0" layoutInCell="1" allowOverlap="1" wp14:anchorId="796981BB" wp14:editId="4A570B13">
            <wp:simplePos x="0" y="0"/>
            <wp:positionH relativeFrom="page">
              <wp:posOffset>514506</wp:posOffset>
            </wp:positionH>
            <wp:positionV relativeFrom="paragraph">
              <wp:posOffset>93062</wp:posOffset>
            </wp:positionV>
            <wp:extent cx="6531379" cy="4151784"/>
            <wp:effectExtent l="0" t="0" r="0" b="0"/>
            <wp:wrapNone/>
            <wp:docPr id="34" name="Imag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 name="Image 34"/>
                    <pic:cNvPicPr/>
                  </pic:nvPicPr>
                  <pic:blipFill>
                    <a:blip r:embed="rId12" cstate="print"/>
                    <a:stretch>
                      <a:fillRect/>
                    </a:stretch>
                  </pic:blipFill>
                  <pic:spPr>
                    <a:xfrm>
                      <a:off x="0" y="0"/>
                      <a:ext cx="6531379" cy="4151784"/>
                    </a:xfrm>
                    <a:prstGeom prst="rect">
                      <a:avLst/>
                    </a:prstGeom>
                  </pic:spPr>
                </pic:pic>
              </a:graphicData>
            </a:graphic>
          </wp:anchor>
        </w:drawing>
      </w:r>
      <w:r w:rsidR="00000000">
        <w:t>The main goal is to minimize the negative impact of price fluctuations on the financial results of the Company. This applies to the prices of raw materials, active ingredients of drugs or production costs. Price change risk management aims to ensure predictability of costs and revenues, which is crucial for stable budget planning and execution.</w:t>
      </w:r>
    </w:p>
    <w:p w14:paraId="586B8AB3" w14:textId="77777777" w:rsidR="00E1198C" w:rsidRDefault="00000000">
      <w:pPr>
        <w:pStyle w:val="Nagwek5"/>
        <w:spacing w:before="214"/>
      </w:pPr>
      <w:r>
        <w:rPr>
          <w:color w:val="F07D00"/>
        </w:rPr>
        <w:t>Credit risk</w:t>
      </w:r>
    </w:p>
    <w:p w14:paraId="30B4DF34" w14:textId="77777777" w:rsidR="00E1198C" w:rsidRDefault="00000000">
      <w:pPr>
        <w:pStyle w:val="Tekstpodstawowy"/>
        <w:spacing w:before="146" w:line="276" w:lineRule="auto"/>
        <w:ind w:left="510" w:right="480"/>
        <w:jc w:val="both"/>
      </w:pPr>
      <w:r>
        <w:t>The main objective is to reduce potential losses resulting from the insolvency of business partners. Credit risk management is designed to ensure that payments from customers are received on time, which directly affects the financial liquidity of the company. The Company monitors and controls its total credit exposure on an ongoing basis to avoid excessive risk concentration on a single business partner or sector. Spreading the risk through cooperation with different business partners from different geographic regions helps to minimize the effects of one of them becoming insolvent.</w:t>
      </w:r>
    </w:p>
    <w:p w14:paraId="25E39021" w14:textId="77777777" w:rsidR="00E1198C" w:rsidRDefault="00000000">
      <w:pPr>
        <w:pStyle w:val="Tekstpodstawowy"/>
        <w:spacing w:before="121"/>
        <w:ind w:left="510"/>
        <w:jc w:val="both"/>
      </w:pPr>
      <w:r>
        <w:t>The Company ensures that all credit risk management activities comply with applicable regulations.</w:t>
      </w:r>
    </w:p>
    <w:p w14:paraId="261D0B58" w14:textId="77777777" w:rsidR="00E1198C" w:rsidRDefault="00E1198C">
      <w:pPr>
        <w:pStyle w:val="Tekstpodstawowy"/>
        <w:spacing w:before="26"/>
      </w:pPr>
    </w:p>
    <w:p w14:paraId="43490224" w14:textId="24F439CE" w:rsidR="00E1198C" w:rsidRPr="008E7DA7" w:rsidRDefault="00000000">
      <w:pPr>
        <w:pStyle w:val="Nagwek5"/>
        <w:jc w:val="both"/>
      </w:pPr>
      <w:r w:rsidRPr="008E7DA7">
        <w:rPr>
          <w:color w:val="F07D00"/>
        </w:rPr>
        <w:t>Risk of significant cash flow disruptions</w:t>
      </w:r>
    </w:p>
    <w:p w14:paraId="62E3EA61" w14:textId="77777777" w:rsidR="00E1198C" w:rsidRDefault="00000000">
      <w:pPr>
        <w:pStyle w:val="Tekstpodstawowy"/>
        <w:spacing w:before="147" w:line="278" w:lineRule="auto"/>
        <w:ind w:left="510" w:right="475"/>
        <w:jc w:val="both"/>
      </w:pPr>
      <w:r>
        <w:t>The most important objective is to maintain sufficient liquidity so that the Company can cover its current liabilities, even in the event of unexpected disruptions, and maintain the continuity of business operations, without adversely affecting the production and distribution of medicines. The Company has the necessary financial means in the form of investments that may amortize potential risks in cash flows.</w:t>
      </w:r>
    </w:p>
    <w:p w14:paraId="5CA37A21" w14:textId="77777777" w:rsidR="00E1198C" w:rsidRPr="008E7DA7" w:rsidRDefault="00000000">
      <w:pPr>
        <w:pStyle w:val="Nagwek5"/>
        <w:spacing w:before="200"/>
        <w:jc w:val="both"/>
      </w:pPr>
      <w:r w:rsidRPr="008E7DA7">
        <w:rPr>
          <w:color w:val="F07D00"/>
        </w:rPr>
        <w:t>Risk of loss of financial liquidity</w:t>
      </w:r>
    </w:p>
    <w:p w14:paraId="06913D9A" w14:textId="77777777" w:rsidR="00E1198C" w:rsidRDefault="00000000">
      <w:pPr>
        <w:pStyle w:val="Tekstpodstawowy"/>
        <w:spacing w:before="157" w:line="273" w:lineRule="auto"/>
        <w:ind w:left="510" w:right="479"/>
        <w:jc w:val="both"/>
      </w:pPr>
      <w:r>
        <w:t>Liquidity risk management is a critical element of financial management to ensure that the Company can meet its short-term financial obligations in any circumstances. The main objective is to maintain the ability to cover current liabilities, which allows for operational continuity and to prevent situations in which the Company must raise financing in crisis conditions, which often entails higher costs.</w:t>
      </w:r>
    </w:p>
    <w:p w14:paraId="0CF4E8DB" w14:textId="77777777" w:rsidR="00E1198C" w:rsidRDefault="00000000">
      <w:pPr>
        <w:pStyle w:val="Tekstpodstawowy"/>
        <w:spacing w:before="124"/>
        <w:ind w:left="510"/>
        <w:jc w:val="both"/>
      </w:pPr>
      <w:r>
        <w:t>The company maintains sufficient cash reserves that can be mobilized quickly if needed.</w:t>
      </w:r>
    </w:p>
    <w:p w14:paraId="2A95DDF8" w14:textId="77777777" w:rsidR="00E1198C" w:rsidRDefault="00E1198C">
      <w:pPr>
        <w:pStyle w:val="Tekstpodstawowy"/>
        <w:spacing w:before="26"/>
      </w:pPr>
    </w:p>
    <w:p w14:paraId="527146B7" w14:textId="77777777" w:rsidR="00E1198C" w:rsidRDefault="00000000">
      <w:pPr>
        <w:pStyle w:val="Nagwek5"/>
        <w:jc w:val="both"/>
      </w:pPr>
      <w:r>
        <w:rPr>
          <w:color w:val="F07D00"/>
        </w:rPr>
        <w:t>Risk associated with the loss of key employees</w:t>
      </w:r>
    </w:p>
    <w:p w14:paraId="5EB2A93B" w14:textId="485A6C41" w:rsidR="00E1198C" w:rsidRDefault="00000000">
      <w:pPr>
        <w:pStyle w:val="Tekstpodstawowy"/>
        <w:spacing w:before="146" w:line="276" w:lineRule="auto"/>
        <w:ind w:left="510" w:right="481"/>
        <w:jc w:val="both"/>
      </w:pPr>
      <w:r>
        <w:t xml:space="preserve">Effective operations of the Company and successful implementation of its strategy depend on the experience of its managers and key personnel. Given the specific nature of the Company’s area of activity, it depends on highly qualified, technically skilled and creative employees whose high level of competencies and skills allow for developing new </w:t>
      </w:r>
    </w:p>
    <w:p w14:paraId="0713129B" w14:textId="77777777" w:rsidR="00E1198C" w:rsidRDefault="00E1198C">
      <w:pPr>
        <w:spacing w:line="276" w:lineRule="auto"/>
        <w:jc w:val="both"/>
        <w:sectPr w:rsidR="00E1198C">
          <w:pgSz w:w="11900" w:h="16840"/>
          <w:pgMar w:top="820" w:right="320" w:bottom="920" w:left="300" w:header="0" w:footer="726" w:gutter="0"/>
          <w:cols w:space="708"/>
        </w:sectPr>
      </w:pPr>
    </w:p>
    <w:p w14:paraId="01BD7371" w14:textId="77777777" w:rsidR="00E1198C" w:rsidRDefault="00000000">
      <w:pPr>
        <w:pStyle w:val="Tekstpodstawowy"/>
        <w:spacing w:before="61" w:line="276" w:lineRule="auto"/>
        <w:ind w:left="510" w:right="473"/>
        <w:jc w:val="both"/>
      </w:pPr>
      <w:r>
        <w:lastRenderedPageBreak/>
        <w:t xml:space="preserve">technologies and innovative products. The Company’s actions are based on the know-how and experience of its highly qualified management, including the President of the Management Board – Maciej Wieczorek, Vice-President of the Management Board – Jacek Glinka and managers responsible for individual business areas (including R&amp;D, production and supplies, sales and marketing, as well as finances and accounting). Competencies, loyalty and commitment of key employees are the main factors affecting the Company’s everyday activity and its development. There is a risk that competition on the market where the Company operates, fueled by </w:t>
      </w:r>
      <w:proofErr w:type="spellStart"/>
      <w:r>
        <w:t>i.a.</w:t>
      </w:r>
      <w:proofErr w:type="spellEnd"/>
      <w:r>
        <w:t xml:space="preserve"> the shortage of experts with relevant qualifications, will result in resignations of employees of key importance to the Company, and the Company cannot guarantee that it will be able to recruit and retain such key employees in the future, including to obtain experts whose employment will prove necessary for the Company's future development, which might negatively affect Company's business activity, financial performance or prospects. In view of the above, the Company might also be forced to incur higher payroll costs. The Company is of the opinion that, to date, employee rotation in the Company was at a level typical for this industry, however, given the aforementioned factors, in particular the anticipated growing demand for such experts on the market, the Company cannot exclude such events happening more often in the future. Losing expert employees and key managers might have a negative impact on the Company's research capacities and the development of drug candidates, as well as on successful implementation of the Company’s strategy.</w:t>
      </w:r>
    </w:p>
    <w:p w14:paraId="5C027331" w14:textId="77777777" w:rsidR="00E1198C" w:rsidRDefault="00000000">
      <w:pPr>
        <w:pStyle w:val="Tekstpodstawowy"/>
        <w:spacing w:before="125" w:line="271" w:lineRule="auto"/>
        <w:ind w:left="510" w:right="477"/>
        <w:jc w:val="both"/>
      </w:pPr>
      <w:r>
        <w:t>As at the date of preparation of this report, the Company assesses the probability of the occurrence of this risk is low and that, should this risk occur in the future, the scale of its negative impact on the Company's business activity, financial performance or perspectives would be significant.</w:t>
      </w:r>
    </w:p>
    <w:p w14:paraId="650A0108" w14:textId="77777777" w:rsidR="00E1198C" w:rsidRDefault="00000000">
      <w:pPr>
        <w:pStyle w:val="Nagwek5"/>
        <w:spacing w:before="217"/>
      </w:pPr>
      <w:r>
        <w:rPr>
          <w:color w:val="F07D00"/>
        </w:rPr>
        <w:t>Risk associated with possible disclosure of trade and technological secrets</w:t>
      </w:r>
    </w:p>
    <w:p w14:paraId="4BD685C5" w14:textId="683C3C01" w:rsidR="00E1198C" w:rsidRDefault="00000000">
      <w:pPr>
        <w:pStyle w:val="Tekstpodstawowy"/>
        <w:spacing w:before="146" w:line="276" w:lineRule="auto"/>
        <w:ind w:left="510" w:right="476"/>
        <w:jc w:val="both"/>
      </w:pPr>
      <w:r>
        <w:t xml:space="preserve">The successful implementation of the Company's plans in regard to </w:t>
      </w:r>
      <w:proofErr w:type="spellStart"/>
      <w:r>
        <w:t>i.a.</w:t>
      </w:r>
      <w:proofErr w:type="spellEnd"/>
      <w:r>
        <w:t xml:space="preserve"> innovative drug projects or details of conducted clinical trials might depend on whether confidential information held by the Company, in particular information regarding the conducted trials and technological processes, are kept secret. Only the Company’s management and key employees and occasionally partners of projects implemented by the Company, such as academic establishments, have access to sensitive, confidential information regarding the Company’s activity, such as its strategic plans, its planned business ventures and its key technologies. However, a situation where such information is disclosed and used by persons cooperating with the Company, in particular by its employees, cannot be excluded; as a result, such information could be used by the Company’s competitors. In such a situation, the measures protecting the Company's rights, in particular the claims which could be pursued by the Company, might prove insufficient to protect the Company against the negative effects of such events, which might have a negative impact on the Company's business activity, financial performance or prospects. The Company is of the opinion that this risk will become more significant in the future as the Company continues to develop its innovative project and as the Company develops its unique know-how in the course of its regular activity.</w:t>
      </w:r>
    </w:p>
    <w:p w14:paraId="7FD6A5B0" w14:textId="77777777" w:rsidR="00E1198C" w:rsidRDefault="00000000">
      <w:pPr>
        <w:pStyle w:val="Tekstpodstawowy"/>
        <w:spacing w:before="124" w:line="276" w:lineRule="auto"/>
        <w:ind w:left="510" w:right="479"/>
        <w:jc w:val="both"/>
      </w:pPr>
      <w:r>
        <w:t>As at the date of preparation of this report, the Company assesses the probability of the occurrence of this risk as low and that, should this risk occur in the future, the scale of its negative impact on the Company's business activity, financial performance or perspectives would not be significant.</w:t>
      </w:r>
    </w:p>
    <w:p w14:paraId="689F49F2" w14:textId="77777777" w:rsidR="00E1198C" w:rsidRDefault="00000000">
      <w:pPr>
        <w:pStyle w:val="Nagwek5"/>
        <w:spacing w:before="214"/>
      </w:pPr>
      <w:r>
        <w:rPr>
          <w:color w:val="F07D00"/>
        </w:rPr>
        <w:t>Risk associated with granted co-financing</w:t>
      </w:r>
    </w:p>
    <w:p w14:paraId="41E4B03E" w14:textId="77777777" w:rsidR="00E1198C" w:rsidRDefault="00000000" w:rsidP="00650FD4">
      <w:pPr>
        <w:pStyle w:val="Tekstpodstawowy"/>
        <w:spacing w:before="146"/>
        <w:ind w:left="510" w:right="470"/>
        <w:jc w:val="both"/>
      </w:pPr>
      <w:r>
        <w:t xml:space="preserve">In relation to its innovative projects, the Company had implemented and is currently implementing projects co-financed from national and EU public funds, including programs implemented and managed by the National Center for Research and Development. Individual agreements on co-financing, terms of grant-awarding procedures or applicable provisions of law determine detailed rules on </w:t>
      </w:r>
      <w:proofErr w:type="spellStart"/>
      <w:r>
        <w:t>i.a.</w:t>
      </w:r>
      <w:proofErr w:type="spellEnd"/>
      <w:r>
        <w:t xml:space="preserve"> applying for grants, using allocated funds, implementing projects, as well as interim reporting of their results. With regard to currently implemented projects, the Company applies due diligence to ensure that the projects are implemented in line with the agreements on co-financing, in particular with regard to schedules of works and expenditures. To the best of the Company's knowledge, there are no circumstances which would result in the Company's obligation to return the support obtained for the purpose of projects implemented with the use of public funds. However, the risk that competent national or EU bodies and institutions audit the Company with regard to the correctness of the project implementation, the achievement of their objectives and the use of the received funds as intended and identify possible deficiencies, and in consequence demand that a part of or the entire grant be returned with interest cannot be excluded. The possible requirement to return the co-financing might be associated with the risk of negatively affecting the Company’s reputation and potential exclusion of the Company from participation in future grant contests on the basis of relevant provisions governing the allocation of funds in such contests. The above-mentioned entitlements of public bodies are usually subject to a 10-year period of limitation, calculated from the date on which the grant was awarded, i.e. the conclusion of individual agreements on co-financing. The possible demand to return the funds in part or in full might have a negative impact on the Company's business activity, financial performance or prospects.</w:t>
      </w:r>
    </w:p>
    <w:p w14:paraId="7D4A0081" w14:textId="77777777" w:rsidR="00E1198C" w:rsidRDefault="00000000" w:rsidP="00650FD4">
      <w:pPr>
        <w:pStyle w:val="Tekstpodstawowy"/>
        <w:spacing w:before="126"/>
        <w:ind w:left="510" w:right="477"/>
        <w:jc w:val="both"/>
      </w:pPr>
      <w:r>
        <w:t>As at the date of preparation of this report, the Company assesses the probability of the occurrence of this risk as low and that, should this risk occur in the future, the scale of its negative impact on the Company's business activity, financial performance or perspectives would be significant.</w:t>
      </w:r>
    </w:p>
    <w:p w14:paraId="1B0247BB" w14:textId="77777777" w:rsidR="00E1198C" w:rsidRDefault="00000000">
      <w:pPr>
        <w:pStyle w:val="Nagwek5"/>
        <w:spacing w:before="217"/>
      </w:pPr>
      <w:r>
        <w:rPr>
          <w:color w:val="F07D00"/>
        </w:rPr>
        <w:t>Risk associated with failure to secure grants for planned innovative projects</w:t>
      </w:r>
    </w:p>
    <w:p w14:paraId="418695F1" w14:textId="77777777" w:rsidR="00E1198C" w:rsidRDefault="00000000">
      <w:pPr>
        <w:pStyle w:val="Tekstpodstawowy"/>
        <w:spacing w:before="146" w:line="283" w:lineRule="auto"/>
        <w:ind w:left="510" w:right="480"/>
        <w:jc w:val="both"/>
      </w:pPr>
      <w:r>
        <w:t>As part of the Company's development strategy, the Management Board adopted an investment program which covers in particular outlays on two areas of activity related to:</w:t>
      </w:r>
    </w:p>
    <w:p w14:paraId="6333238D" w14:textId="77777777" w:rsidR="00E1198C" w:rsidRDefault="00000000">
      <w:pPr>
        <w:pStyle w:val="Akapitzlist"/>
        <w:numPr>
          <w:ilvl w:val="0"/>
          <w:numId w:val="33"/>
        </w:numPr>
        <w:tabs>
          <w:tab w:val="left" w:pos="1230"/>
        </w:tabs>
        <w:spacing w:before="112"/>
        <w:ind w:hanging="360"/>
        <w:rPr>
          <w:sz w:val="18"/>
        </w:rPr>
      </w:pPr>
      <w:r>
        <w:rPr>
          <w:sz w:val="18"/>
        </w:rPr>
        <w:t>the development of inhaled drugs and their registration in European and North American markets</w:t>
      </w:r>
    </w:p>
    <w:p w14:paraId="3BE7D2BB" w14:textId="77777777" w:rsidR="00E1198C" w:rsidRDefault="00E1198C">
      <w:pPr>
        <w:rPr>
          <w:sz w:val="18"/>
        </w:rPr>
        <w:sectPr w:rsidR="00E1198C">
          <w:pgSz w:w="11900" w:h="16840"/>
          <w:pgMar w:top="820" w:right="320" w:bottom="920" w:left="300" w:header="0" w:footer="726" w:gutter="0"/>
          <w:cols w:space="708"/>
        </w:sectPr>
      </w:pPr>
    </w:p>
    <w:p w14:paraId="478C2919" w14:textId="77777777" w:rsidR="00E1198C" w:rsidRDefault="00000000">
      <w:pPr>
        <w:pStyle w:val="Akapitzlist"/>
        <w:numPr>
          <w:ilvl w:val="0"/>
          <w:numId w:val="33"/>
        </w:numPr>
        <w:tabs>
          <w:tab w:val="left" w:pos="1230"/>
        </w:tabs>
        <w:spacing w:before="81"/>
        <w:ind w:hanging="360"/>
        <w:rPr>
          <w:sz w:val="18"/>
        </w:rPr>
      </w:pPr>
      <w:r>
        <w:rPr>
          <w:sz w:val="18"/>
        </w:rPr>
        <w:lastRenderedPageBreak/>
        <w:t>the development of new drug projects, including potential innovative drugs.</w:t>
      </w:r>
    </w:p>
    <w:p w14:paraId="671183C3" w14:textId="77777777" w:rsidR="00E1198C" w:rsidRDefault="00000000">
      <w:pPr>
        <w:pStyle w:val="Tekstpodstawowy"/>
        <w:spacing w:before="152" w:line="276" w:lineRule="auto"/>
        <w:ind w:left="510" w:right="473"/>
        <w:jc w:val="both"/>
      </w:pPr>
      <w:r>
        <w:t>EU subsidies which are estimated to account for approx. 50-60% of the planned project costs constitute a significant source of funds covering the Company's investment plans; the remaining costs are to be financed from the Company's own funds. However, one cannot exclude the risk where the grant applications submitted by the Company are not successful due to the competitive nature of acquiring funds for innovative projects. To date, the Company has been successful in obtaining co-financing for the majority of its projects, however, should the application be rejected, it will be forced to search for other sources of financing its planned innovative projects; that might significantly delay their implementation and/or result in the need to engage the Company's equity or increase its debt. The actual options of the Company obtaining additional funds will depend on the financial, economic, market and other factors, over which the Company might have limited control or no control whatsoever. If the relevant funds are not available on acceptable commercial terms or if support from public funds is not granted within the required time frame and in the sufficient amount, the Company might be forced to delay, limit or discontinue the implementation of its strategy or might not be able to make the best of future business opportunities. The above risks might negatively impact the Company's business activity, financial performance or prospects.</w:t>
      </w:r>
    </w:p>
    <w:p w14:paraId="25F8CE52" w14:textId="77777777" w:rsidR="00E1198C" w:rsidRDefault="00000000">
      <w:pPr>
        <w:pStyle w:val="Tekstpodstawowy"/>
        <w:spacing w:before="119" w:line="283" w:lineRule="auto"/>
        <w:ind w:left="510" w:right="477"/>
        <w:jc w:val="both"/>
      </w:pPr>
      <w:r>
        <w:t>As at the date of preparation of this report, the Company assesses the probability of the occurrence of this risk as moderate and that, should this risk occur in the future, the scale of its negative impact on the Company's business activity, financial performance or perspectives would be significant.</w:t>
      </w:r>
    </w:p>
    <w:p w14:paraId="550FEAA4" w14:textId="77777777" w:rsidR="00E1198C" w:rsidRDefault="00000000">
      <w:pPr>
        <w:pStyle w:val="Nagwek5"/>
        <w:spacing w:before="206"/>
        <w:jc w:val="both"/>
      </w:pPr>
      <w:r>
        <w:rPr>
          <w:color w:val="F07D00"/>
        </w:rPr>
        <w:t>Risk associated with the use of hazardous substances and generating hazardous waste</w:t>
      </w:r>
    </w:p>
    <w:p w14:paraId="5EA98106" w14:textId="77777777" w:rsidR="00E1198C" w:rsidRDefault="00000000" w:rsidP="00650FD4">
      <w:pPr>
        <w:pStyle w:val="Tekstpodstawowy"/>
        <w:spacing w:before="146"/>
        <w:ind w:left="510" w:right="477"/>
        <w:jc w:val="both"/>
      </w:pPr>
      <w:r>
        <w:t>The specific nature of the Company's activity which includes manufacturing of drugs and conducting research in this area is associated with the need to use chemical substances categorized as hazardous, such as oil, gas and benzine, including laboratory-scale use of carcinogenic and teratogenic substances, as well as the creation of hazardous waste. This is associated with potential exposure of the Company's employees to harmful effects of such substances and waste.</w:t>
      </w:r>
    </w:p>
    <w:p w14:paraId="27C7AF27" w14:textId="77777777" w:rsidR="00E1198C" w:rsidRDefault="00000000" w:rsidP="00650FD4">
      <w:pPr>
        <w:pStyle w:val="Tekstpodstawowy"/>
        <w:spacing w:before="135"/>
        <w:ind w:left="510" w:right="474"/>
        <w:jc w:val="both"/>
      </w:pPr>
      <w:r>
        <w:t>Given that the carcinogenic and teratogenic substances are used on a small scale, mainly for use in laboratories, and because relevant procedures are in place, the Company accesses this risk as low. However, one cannot exclude the risk where, in the event of a possible violation of the requirements related to the use of hazardous substances and the creation of such waste adopted by the Company, authorities will impose a penalty, including the order to discontinue or limit a given type of activity. Furthermore, the risk of a malfunction or other event resulting in harm to persons exposed to contact with substances or waste cannot be excluded; that might result in possible claims and the Company's liability, including financial liability. It is also possible that future legal regulations regarding requirements on handling hazardous substances will result in the need to limit the Company's current activity or to incur outlays to adjust the Company's activity to the new legal requirements; that might have a negative impact on the Company's business activity, financial performance or prospects. Violations of requirements regarding the handling of hazardous substances or creation of such waste might result in the Company incurring significant costs due to administrative fines or criminal penalties, as well as being liable for damages. Although the Company is insured against its employees’ civil liability and such insurance covers the costs and expenses which the Company might be forced to incur in relation to injuries to its employees resulting from the use of hazardous materials or other work-related injuries, such insurance will not provide the required protection against potential liability.</w:t>
      </w:r>
    </w:p>
    <w:p w14:paraId="32973B31" w14:textId="77777777" w:rsidR="00E1198C" w:rsidRDefault="00000000" w:rsidP="00650FD4">
      <w:pPr>
        <w:pStyle w:val="Tekstpodstawowy"/>
        <w:spacing w:before="119"/>
        <w:ind w:left="510" w:right="477"/>
        <w:jc w:val="both"/>
      </w:pPr>
      <w:r>
        <w:t>As at the date of preparation of this report, the Company assesses the probability of the occurrence of this risk as low and that, should this risk occur in the future, the scale of its negative impact on the Company's business activity, financial performance or perspectives would be significant.</w:t>
      </w:r>
    </w:p>
    <w:p w14:paraId="6EC6A056" w14:textId="77777777" w:rsidR="00E1198C" w:rsidRDefault="00000000">
      <w:pPr>
        <w:pStyle w:val="Nagwek5"/>
        <w:spacing w:before="217"/>
        <w:jc w:val="both"/>
      </w:pPr>
      <w:r>
        <w:rPr>
          <w:color w:val="F07D00"/>
        </w:rPr>
        <w:t>Risk associated with the competitive nature of the market in which the Company operates</w:t>
      </w:r>
    </w:p>
    <w:p w14:paraId="550205C4" w14:textId="77777777" w:rsidR="00E1198C" w:rsidRDefault="00000000">
      <w:pPr>
        <w:pStyle w:val="Tekstpodstawowy"/>
        <w:spacing w:before="146" w:line="276" w:lineRule="auto"/>
        <w:ind w:left="510" w:right="475" w:firstLine="45"/>
        <w:jc w:val="both"/>
      </w:pPr>
      <w:r>
        <w:t>Historically, the Company was focused on the production of generic drugs. In 2006, the Company started expanding its activity towards the development of inhalation drugs categorized as the so-called generics plus, biosimilars and innovative drug projects. The generic drug market is characterized by low barriers to entry and the possibility of generating stable revenues and achieving a significant market share over a short period of time. As a result, the first years after patent protection expires lead to a quick quantitative increase in the sale of generic drugs. However, as new generics to original drugs are introduced to the market over the course of a few years, the drug price erodes quickly and a systematic reduction of the cost-effectiveness of the generic drug sales on the given market is observed. One cannot exclude a risk where revenues from the sale of generics included in the Company's product portfolio drop more quickly than anticipated by the Company; that might result in the need to withdraw the given drug from the product portfolio and cause a temporary reduction of revenues from sales and financial performance.</w:t>
      </w:r>
    </w:p>
    <w:p w14:paraId="49A41A3A" w14:textId="77777777" w:rsidR="00E1198C" w:rsidRDefault="00000000">
      <w:pPr>
        <w:pStyle w:val="Tekstpodstawowy"/>
        <w:spacing w:before="123" w:line="276" w:lineRule="auto"/>
        <w:ind w:left="510" w:right="477"/>
        <w:jc w:val="both"/>
      </w:pPr>
      <w:r>
        <w:t>The market of innovative therapeutics as characterized by relatively lower competitiveness, which results from the fact that registration and marketing of an innovative drug requires time-consuming and costly research and preparation of the full registration dossier. The process between the commencement of the research of such a drug and marketing it takes approx. 10 years. The Company cannot foresee how powerful and numerous the competition will be, however, greater competitiveness on the market is inevitable; this gives rise to the risk that the capacity to achieve the planned market share and the capacity for sales or commercialization of the pending innovative projects will be limited.</w:t>
      </w:r>
    </w:p>
    <w:p w14:paraId="378EFDBC" w14:textId="77777777" w:rsidR="00E1198C" w:rsidRDefault="00000000">
      <w:pPr>
        <w:pStyle w:val="Tekstpodstawowy"/>
        <w:spacing w:before="121" w:line="271" w:lineRule="auto"/>
        <w:ind w:left="510" w:right="476"/>
        <w:jc w:val="both"/>
      </w:pPr>
      <w:r>
        <w:t>Publicly available information suggests that currently there are many entities on the market which are developing generics to the same original drugs targeted by the Company and that works on some of them are already very advanced. There is a risk that upon expiry of patent protection</w:t>
      </w:r>
    </w:p>
    <w:p w14:paraId="03A8E6E6" w14:textId="77777777" w:rsidR="00E1198C" w:rsidRDefault="00E1198C">
      <w:pPr>
        <w:spacing w:line="271" w:lineRule="auto"/>
        <w:jc w:val="both"/>
        <w:sectPr w:rsidR="00E1198C">
          <w:pgSz w:w="11900" w:h="16840"/>
          <w:pgMar w:top="800" w:right="320" w:bottom="920" w:left="300" w:header="0" w:footer="726" w:gutter="0"/>
          <w:cols w:space="708"/>
        </w:sectPr>
      </w:pPr>
    </w:p>
    <w:p w14:paraId="01AEB19E" w14:textId="4FF7D0FB" w:rsidR="00E1198C" w:rsidRDefault="00000000">
      <w:pPr>
        <w:pStyle w:val="Tekstpodstawowy"/>
        <w:spacing w:before="61" w:line="276" w:lineRule="auto"/>
        <w:ind w:left="510" w:right="475"/>
        <w:jc w:val="both"/>
      </w:pPr>
      <w:r>
        <w:lastRenderedPageBreak/>
        <w:t>for the original drugs, some of those entities will be ready to market their own generics. This will increase the competition against the Company (e.g. the competitors might market their products sooner or introduce cheaper drugs etc.) and might force the Company to revise its assumptions as to the planned market share or the anticipated potential revenues.</w:t>
      </w:r>
    </w:p>
    <w:p w14:paraId="25E0A662" w14:textId="77777777" w:rsidR="00E1198C" w:rsidRDefault="00000000">
      <w:pPr>
        <w:pStyle w:val="Tekstpodstawowy"/>
        <w:spacing w:before="120" w:line="276" w:lineRule="auto"/>
        <w:ind w:left="510" w:right="476"/>
        <w:jc w:val="both"/>
      </w:pPr>
      <w:r>
        <w:t>The Company's commercial capacities might also be limited or eliminated if the competitors manage to develop and market products which are safer, more effective, are characterized by less frequent or significantly less severe adverse effects, are more convenient to use or cheaper than the products developed by the Company. It is also possible that the Company’s competitors will obtain the necessary authorizations from regulatory bodies for their products sooner than the Company; this might lead to the Company's competitors achieving a strong market position before the Company manages to enter a given market. As a result, the actions aimed at discovering new potential drugs might prove not to be cost-effective for the Company; that might weaken its market position, and have a negative impact on the Company's business activity, financial performance or prospects.</w:t>
      </w:r>
    </w:p>
    <w:p w14:paraId="365BC8FC" w14:textId="7118FF14" w:rsidR="00E1198C" w:rsidRDefault="00000000">
      <w:pPr>
        <w:pStyle w:val="Tekstpodstawowy"/>
        <w:spacing w:before="127" w:line="271" w:lineRule="auto"/>
        <w:ind w:left="510" w:right="477"/>
        <w:jc w:val="both"/>
      </w:pPr>
      <w:r>
        <w:t>As at the date of preparation of this report, the Company assesses the probability of the occurrence of this risk as moderate and that, should this risk occur in the future, the scale of its negative impact on the Company's business activity, financial performance or perspectives would be significant.</w:t>
      </w:r>
    </w:p>
    <w:p w14:paraId="7A3A2BAF" w14:textId="77777777" w:rsidR="00E1198C" w:rsidRDefault="00000000">
      <w:pPr>
        <w:pStyle w:val="Nagwek5"/>
        <w:spacing w:before="217"/>
      </w:pPr>
      <w:r>
        <w:rPr>
          <w:color w:val="F07D00"/>
        </w:rPr>
        <w:t>Risk associated with national and international legal regulations</w:t>
      </w:r>
    </w:p>
    <w:p w14:paraId="24AAC4FF" w14:textId="77777777" w:rsidR="00E1198C" w:rsidRDefault="00000000">
      <w:pPr>
        <w:pStyle w:val="Tekstpodstawowy"/>
        <w:spacing w:before="146" w:line="276" w:lineRule="auto"/>
        <w:ind w:left="510" w:right="473"/>
        <w:jc w:val="both"/>
      </w:pPr>
      <w:r>
        <w:t>Frequent amendments of provisions, characteristic of the Polish legal system, may constitute a potential risk for the Company; the Management Board's assumptions with regard to its business activity might became out of date and its financial standing might deteriorate. The regulations which have the largest impact on the Company's operations include in particular pharmaceutical law, tax law and intellectual property law. Amendments to the aforementioned regulations might lead to a significant change to the provisions of law applicable to the Company and impact its financial performance, for example by way of increasing the operating costs (through a direct increase of tax burdens or additional expenditure required to meet new legal and administrative requirements), the extending of manufacturing and investment processes, the imposing of administrative fees and tax burdens on the Company in relation with non-compliance with provisions of law found by public administration bodies.</w:t>
      </w:r>
    </w:p>
    <w:p w14:paraId="46543E2F" w14:textId="77777777" w:rsidR="00E1198C" w:rsidRDefault="00000000">
      <w:pPr>
        <w:pStyle w:val="Tekstpodstawowy"/>
        <w:spacing w:before="128" w:line="271" w:lineRule="auto"/>
        <w:ind w:left="510" w:right="476"/>
        <w:jc w:val="both"/>
      </w:pPr>
      <w:r>
        <w:t>Another significant factor which might impact the Company's business activity, financial performance or prospects is the issue of discrepancies between interpretation of Polish and EU provisions of law. Inconsistent interpretation of provisions by Polish courts and public administration bodies, as well as EU courts might affect the Company both indirectly and directly.</w:t>
      </w:r>
    </w:p>
    <w:p w14:paraId="28E258DB" w14:textId="77777777" w:rsidR="00E1198C" w:rsidRDefault="00000000">
      <w:pPr>
        <w:pStyle w:val="Tekstpodstawowy"/>
        <w:spacing w:before="121" w:line="276" w:lineRule="auto"/>
        <w:ind w:left="510" w:right="476"/>
        <w:jc w:val="both"/>
      </w:pPr>
      <w:r>
        <w:t>The Company cannot guarantee that it will obtain the required administrative decisions for its drug development project, nor that no current or future administrative decisions will be questioned, withdrawn, amended, repealed or canceled. Such situations may delay or change the original projects and have a negative impact on the Company's business activity, financial performance or prospects.</w:t>
      </w:r>
    </w:p>
    <w:p w14:paraId="0E77A3DA" w14:textId="66FE908F" w:rsidR="00E1198C" w:rsidRDefault="00000000">
      <w:pPr>
        <w:pStyle w:val="Tekstpodstawowy"/>
        <w:spacing w:before="120" w:line="283" w:lineRule="auto"/>
        <w:ind w:left="510" w:right="477"/>
        <w:jc w:val="both"/>
      </w:pPr>
      <w:r>
        <w:t>As at the date of preparation of this report, the Company assesses the probability of the occurrence of this risk as moderate and that, should this risk occur in the future, the scale of its negative impact on the Company's business activity, financial performance or perspectives would be significant.</w:t>
      </w:r>
    </w:p>
    <w:p w14:paraId="1ED590F4" w14:textId="77777777" w:rsidR="00E1198C" w:rsidRDefault="00000000">
      <w:pPr>
        <w:pStyle w:val="Nagwek5"/>
        <w:spacing w:before="206"/>
      </w:pPr>
      <w:r>
        <w:rPr>
          <w:color w:val="F07D00"/>
        </w:rPr>
        <w:t>Risk associated with initiated court proceedings</w:t>
      </w:r>
    </w:p>
    <w:p w14:paraId="0226A14F" w14:textId="4EFCA62D" w:rsidR="00E1198C" w:rsidRDefault="00000000">
      <w:pPr>
        <w:pStyle w:val="Tekstpodstawowy"/>
        <w:spacing w:before="146" w:line="276" w:lineRule="auto"/>
        <w:ind w:left="510" w:right="474"/>
        <w:jc w:val="both"/>
      </w:pPr>
      <w:r>
        <w:t xml:space="preserve">The Company is a party to court proceedings described in point 8.1 of this report. In response to the statements of claim, </w:t>
      </w:r>
      <w:proofErr w:type="spellStart"/>
      <w:r>
        <w:t>Polfarmex</w:t>
      </w:r>
      <w:proofErr w:type="spellEnd"/>
      <w:r>
        <w:t xml:space="preserve"> S.A. motioned that they be dismissed in full as unjustified. The Company raised, among other things, the fact that the plaintiff violated the principle of proportionality, as well as a highly subjective way of determining the amount of claims, based on any assumptions and data concerning the manufacture of another medicinal product. The Company is informing that also in the case of the dispute with Bayer Intellectual Property GmbH, the Company motioned that the case be dismissed in full as unjustified. The arguments raised by the Company focus on the recognition that not only the pharmacological form of the active substance offered by the Company goes beyond the patent claim to which Bayer refers, but also the sole existence of the patent raises significant doubts in terms of intellectual property law, which was already confirmed in several countries by the patent's full repeal. However, regardless of the Company’s assessments and position, the risk of adverse resolution of the current proceedings cannot be completely excluded, which could have negative consequences for the Company’s financial situation.</w:t>
      </w:r>
    </w:p>
    <w:p w14:paraId="1F06FDD0" w14:textId="77777777" w:rsidR="00E1198C" w:rsidRDefault="00000000">
      <w:pPr>
        <w:pStyle w:val="Nagwek5"/>
        <w:spacing w:before="213"/>
      </w:pPr>
      <w:r>
        <w:rPr>
          <w:color w:val="F07D00"/>
        </w:rPr>
        <w:t>Risk associated with tax policy</w:t>
      </w:r>
    </w:p>
    <w:p w14:paraId="6A43CB2F" w14:textId="77777777" w:rsidR="00E1198C" w:rsidRDefault="00000000">
      <w:pPr>
        <w:pStyle w:val="Tekstpodstawowy"/>
        <w:spacing w:before="157" w:line="276" w:lineRule="auto"/>
        <w:ind w:left="510" w:right="477"/>
        <w:jc w:val="both"/>
      </w:pPr>
      <w:r>
        <w:t>The Company is subject to complex tax legislation in both Poland and other countries where it is operational; this exposes it to frequent changes and lack of precision of tax regulations which often lack a consistent interpretation. Both the practices of tax offices and court decisions on tax issues which are based on ambiguous legal regulations increase the risk for business activities in Poland compared to more stable tax systems in place in more mature economies. The Company enjoyed a tax relief on account of its research and development activity ,which allows the Company to deduct anew additional 100% of eligible expenditure incurred on such activity, which has already been classified as tax deductible cost from the tax base. Additionally, in line with the current tax regulations, it is also possible to use the so-called IP Box eligible IP rights mechanism, which makes it possible to apply a preferential tax rate, i.e. 5% from the tax base, that is the income. The Company can apply that preferential rate in the case of commercialization of certain projects. Possible new tax provisions or regulations might be introduced retroactively or non-retroactively; there might also be changes to the applicable interpretation and enforcement of such provisions or regulations, which might have a negative impact on the tax provisions currently applied by the Company.</w:t>
      </w:r>
    </w:p>
    <w:p w14:paraId="45D6CAE0" w14:textId="77777777" w:rsidR="00E1198C" w:rsidRDefault="00E1198C">
      <w:pPr>
        <w:spacing w:line="276" w:lineRule="auto"/>
        <w:jc w:val="both"/>
        <w:sectPr w:rsidR="00E1198C">
          <w:pgSz w:w="11900" w:h="16840"/>
          <w:pgMar w:top="820" w:right="320" w:bottom="920" w:left="300" w:header="0" w:footer="726" w:gutter="0"/>
          <w:cols w:space="708"/>
        </w:sectPr>
      </w:pPr>
    </w:p>
    <w:p w14:paraId="5C31D66E" w14:textId="4D7FD939" w:rsidR="00E1198C" w:rsidRDefault="00000000">
      <w:pPr>
        <w:pStyle w:val="Tekstpodstawowy"/>
        <w:spacing w:before="61" w:line="283" w:lineRule="auto"/>
        <w:ind w:left="510" w:right="477"/>
        <w:jc w:val="both"/>
      </w:pPr>
      <w:r>
        <w:lastRenderedPageBreak/>
        <w:t>As at the date of preparation of this report, the Company assesses the probability of the occurrence of this risk as moderate and that, should this risk occur in the future, the scale of its negative impact on the Company's business activity, financial performance or perspectives would be significant.</w:t>
      </w:r>
    </w:p>
    <w:p w14:paraId="7EFC18BE" w14:textId="77777777" w:rsidR="00E1198C" w:rsidRDefault="00000000">
      <w:pPr>
        <w:pStyle w:val="Nagwek5"/>
        <w:spacing w:before="195"/>
      </w:pPr>
      <w:r>
        <w:rPr>
          <w:color w:val="F07D00"/>
        </w:rPr>
        <w:t>Risk associated with decisions taken by the Company's main shareholder</w:t>
      </w:r>
    </w:p>
    <w:p w14:paraId="284E289C" w14:textId="77777777" w:rsidR="00E1198C" w:rsidRDefault="00000000">
      <w:pPr>
        <w:pStyle w:val="Tekstpodstawowy"/>
        <w:spacing w:before="157" w:line="276" w:lineRule="auto"/>
        <w:ind w:left="510" w:right="476"/>
        <w:jc w:val="both"/>
      </w:pPr>
      <w:r>
        <w:t xml:space="preserve">Glatton Sp. z o. o., a company where the sole shareholder is Maciej Wieczorek – the President of the Company's Management Board, holds 55.8% of shares in the Company's share capital; that gives it the right to 65.4% of the total votes in the General Meeting of Shareholders. As the dominating shareholder in the Company, Glatton Sp. z o.o. can significantly impact decisions of the General Meeting of Shareholders regarding payment and amount of dividends, and even decide not to make such a payment in particular financial years, or decide to vote in favor of payment of a dividend which is higher or lower than the amount recommended by the Company's Management Board, which might be contrary to the interest and expectations of the other shareholders and Management Board. Glatton Sp. z o. o. and its sole shareholder Maciej Wieczorek have decisive impact on the Company's affairs, including </w:t>
      </w:r>
      <w:proofErr w:type="spellStart"/>
      <w:r>
        <w:t>i.a.</w:t>
      </w:r>
      <w:proofErr w:type="spellEnd"/>
      <w:r>
        <w:t xml:space="preserve"> the shaping of the Company’s policies and strategies, the directions in which the Company will develop, the selection of Supervisory Board members and, indirectly, the Company's Management Board. Resolutions of the General Meeting of Shareholders adopted with the majority shareholder's votes might be inconsistent with the intentions or interests of minority shareholders. It is not possible to foresee whether the majority shareholder's policy and actions will be convergent with the interests of other shareholders of the Company.</w:t>
      </w:r>
    </w:p>
    <w:p w14:paraId="5978BE9D" w14:textId="77777777" w:rsidR="00E1198C" w:rsidRDefault="00000000">
      <w:pPr>
        <w:pStyle w:val="Tekstpodstawowy"/>
        <w:spacing w:before="118" w:line="271" w:lineRule="auto"/>
        <w:ind w:left="510" w:right="477"/>
        <w:jc w:val="both"/>
      </w:pPr>
      <w:r>
        <w:t>As at the date of preparation of this report, the Company assesses the probability of the occurrence of this risk as low and that, should this risk occur in the future, the scale of its negative impact on the Company's business activity, financial performance or perspectives would be significant.</w:t>
      </w:r>
    </w:p>
    <w:p w14:paraId="083573FE" w14:textId="77777777" w:rsidR="00E1198C" w:rsidRDefault="00000000">
      <w:pPr>
        <w:pStyle w:val="Nagwek5"/>
        <w:spacing w:before="217"/>
      </w:pPr>
      <w:r>
        <w:rPr>
          <w:color w:val="F07D00"/>
        </w:rPr>
        <w:t>Risk associated with potential conflicts of interest</w:t>
      </w:r>
    </w:p>
    <w:p w14:paraId="05AF7A6B" w14:textId="77777777" w:rsidR="00E1198C" w:rsidRDefault="00000000">
      <w:pPr>
        <w:pStyle w:val="Tekstpodstawowy"/>
        <w:spacing w:before="146"/>
        <w:ind w:left="510"/>
      </w:pPr>
      <w:r>
        <w:t>As at the publication of this report, the following relations between members of the Management Board and the Supervisory Board exist:</w:t>
      </w:r>
    </w:p>
    <w:p w14:paraId="37F8159E" w14:textId="77777777" w:rsidR="00E1198C" w:rsidRDefault="00000000">
      <w:pPr>
        <w:pStyle w:val="Tekstpodstawowy"/>
        <w:spacing w:before="163" w:line="271" w:lineRule="auto"/>
        <w:ind w:left="510" w:right="477"/>
        <w:jc w:val="both"/>
      </w:pPr>
      <w:r>
        <w:t>Maciej Wieczorek is indirectly the majority shareholder of the Company; he is the President of the Company's Management Board, the husband of a Member of the Supervisory Board, Urszula Wieczorek and the father of another Member of the Supervisory Board, Artur Wieczorek;</w:t>
      </w:r>
    </w:p>
    <w:p w14:paraId="43621176" w14:textId="77777777" w:rsidR="00E1198C" w:rsidRDefault="00000000">
      <w:pPr>
        <w:pStyle w:val="Tekstpodstawowy"/>
        <w:spacing w:before="122"/>
        <w:ind w:left="510"/>
        <w:jc w:val="both"/>
      </w:pPr>
      <w:r>
        <w:t>Urszula Wieczorek, a member of the Supervisory Board, is the mother of another Member of Supervisory Board – Artur Wieczorek.</w:t>
      </w:r>
    </w:p>
    <w:p w14:paraId="2444A526" w14:textId="77777777" w:rsidR="00E1198C" w:rsidRDefault="00000000">
      <w:pPr>
        <w:pStyle w:val="Tekstpodstawowy"/>
        <w:spacing w:before="152" w:line="278" w:lineRule="auto"/>
        <w:ind w:left="510" w:right="474"/>
        <w:jc w:val="both"/>
      </w:pPr>
      <w:r>
        <w:t>In view of the above, there is a potential risk of a conflict of interest among the above-mentioned individuals and between the above-mentioned individuals and the Company. This conflict could lead to a collision between the obligation to act in the best interest of the Company or to remain independent, and the personal interests of those individuals. The interest of each of the above-mentioned individuals might not be identical to the Company's interests, therefore the risk associated with a conflict of interest which might end unfavorably for the Company should be taken into account. As at the date of preparation of this report, the Company assesses the probability of the occurrence of this risk as low and that, should this risk occur in the future, the scale of its negative impact on the Company's business activity, financial performance or perspectives would be significant.</w:t>
      </w:r>
    </w:p>
    <w:p w14:paraId="78806F01" w14:textId="77777777" w:rsidR="00E1198C" w:rsidRDefault="00000000">
      <w:pPr>
        <w:pStyle w:val="Nagwek5"/>
        <w:spacing w:before="197"/>
        <w:jc w:val="both"/>
      </w:pPr>
      <w:r>
        <w:rPr>
          <w:color w:val="F07D00"/>
        </w:rPr>
        <w:t>Risk related to the war between Russia and Ukraine</w:t>
      </w:r>
    </w:p>
    <w:p w14:paraId="722F6F26" w14:textId="77777777" w:rsidR="00E1198C" w:rsidRDefault="00000000">
      <w:pPr>
        <w:pStyle w:val="Tekstpodstawowy"/>
        <w:spacing w:before="158" w:line="276" w:lineRule="auto"/>
        <w:ind w:left="510" w:right="477"/>
        <w:jc w:val="both"/>
      </w:pPr>
      <w:r>
        <w:t>The current conflict does not affect the Company's current business operations in the manufacturing, logistics, or scientific and research area. Medicinal products are supplied to the Polish market and foreign markets without any disturbances; there are no signals from suppliers of materials and services in the scientific and research area that would indicate delays of works ordered by the Company as part of its projects. The Company has no branches or local offices in war-affected areas. The Company does not carry out active business operations in these regions. However, taking into account the high dynamics of events, the Company cannot exclude the possibility of the occurrence of factors that will adversely affect its financial performance in the subsequent periods, especially due to the possible negative impact on the economic situation in the country, including the weakening of the Polish currency and an increase in interest rates.</w:t>
      </w:r>
    </w:p>
    <w:p w14:paraId="20C7F353" w14:textId="77777777" w:rsidR="00E1198C" w:rsidRDefault="00E1198C">
      <w:pPr>
        <w:pStyle w:val="Tekstpodstawowy"/>
      </w:pPr>
    </w:p>
    <w:p w14:paraId="31CE8DFF" w14:textId="77777777" w:rsidR="00E1198C" w:rsidRDefault="00E1198C">
      <w:pPr>
        <w:pStyle w:val="Tekstpodstawowy"/>
      </w:pPr>
    </w:p>
    <w:p w14:paraId="5C2A371E" w14:textId="77777777" w:rsidR="00E1198C" w:rsidRDefault="00E1198C">
      <w:pPr>
        <w:pStyle w:val="Tekstpodstawowy"/>
      </w:pPr>
    </w:p>
    <w:p w14:paraId="5A915EAD" w14:textId="77777777" w:rsidR="00E1198C" w:rsidRDefault="00E1198C">
      <w:pPr>
        <w:pStyle w:val="Tekstpodstawowy"/>
        <w:spacing w:before="79"/>
      </w:pPr>
    </w:p>
    <w:p w14:paraId="15E9F874" w14:textId="77777777" w:rsidR="00E1198C" w:rsidRDefault="00000000">
      <w:pPr>
        <w:pStyle w:val="Nagwek5"/>
        <w:spacing w:before="1"/>
        <w:jc w:val="both"/>
      </w:pPr>
      <w:r>
        <w:rPr>
          <w:color w:val="F07D00"/>
        </w:rPr>
        <w:t>Risk of a cyberattack</w:t>
      </w:r>
    </w:p>
    <w:p w14:paraId="4BED394E" w14:textId="77777777" w:rsidR="00E1198C" w:rsidRDefault="00000000">
      <w:pPr>
        <w:pStyle w:val="Tekstpodstawowy"/>
        <w:spacing w:before="146" w:line="273" w:lineRule="auto"/>
        <w:ind w:left="510" w:right="479"/>
        <w:jc w:val="both"/>
      </w:pPr>
      <w:r>
        <w:t>The risk of a cyberattack in a company results from the possibility of unauthorized access to IT systems, data theft, disruptions to the operations of IT infrastructure or vulnerability exploitations. Attacks might be targeting customers' data, trade secrets, operating systems or critical infrastructure of the company. The Company assesses the scale of its impact on the Company's operations as low and the probability of the occurrence of this risk as low.</w:t>
      </w:r>
    </w:p>
    <w:p w14:paraId="66BC43E5" w14:textId="77777777" w:rsidR="00E1198C" w:rsidRDefault="00E1198C">
      <w:pPr>
        <w:spacing w:line="273" w:lineRule="auto"/>
        <w:jc w:val="both"/>
        <w:sectPr w:rsidR="00E1198C">
          <w:pgSz w:w="11900" w:h="16840"/>
          <w:pgMar w:top="820" w:right="320" w:bottom="920" w:left="300" w:header="0" w:footer="726" w:gutter="0"/>
          <w:cols w:space="708"/>
        </w:sectPr>
      </w:pPr>
    </w:p>
    <w:p w14:paraId="5F858ADF" w14:textId="3CBD477C" w:rsidR="00E1198C" w:rsidRDefault="00000000">
      <w:pPr>
        <w:pStyle w:val="Akapitzlist"/>
        <w:numPr>
          <w:ilvl w:val="0"/>
          <w:numId w:val="43"/>
        </w:numPr>
        <w:tabs>
          <w:tab w:val="left" w:pos="942"/>
        </w:tabs>
        <w:spacing w:before="61"/>
        <w:ind w:hanging="432"/>
        <w:rPr>
          <w:sz w:val="18"/>
        </w:rPr>
      </w:pPr>
      <w:r>
        <w:rPr>
          <w:color w:val="F5811F"/>
          <w:sz w:val="18"/>
        </w:rPr>
        <w:lastRenderedPageBreak/>
        <w:t>Statement on the application of corporate governance</w:t>
      </w:r>
    </w:p>
    <w:p w14:paraId="212D6F52" w14:textId="77777777" w:rsidR="00E1198C" w:rsidRDefault="00E1198C">
      <w:pPr>
        <w:pStyle w:val="Tekstpodstawowy"/>
        <w:spacing w:before="56"/>
      </w:pPr>
    </w:p>
    <w:p w14:paraId="67145C40" w14:textId="446C297A" w:rsidR="00E1198C" w:rsidRDefault="00000000">
      <w:pPr>
        <w:pStyle w:val="Akapitzlist"/>
        <w:numPr>
          <w:ilvl w:val="1"/>
          <w:numId w:val="43"/>
        </w:numPr>
        <w:tabs>
          <w:tab w:val="left" w:pos="1088"/>
        </w:tabs>
        <w:ind w:hanging="578"/>
        <w:rPr>
          <w:sz w:val="18"/>
        </w:rPr>
      </w:pPr>
      <w:r>
        <w:rPr>
          <w:color w:val="F07D00"/>
          <w:sz w:val="18"/>
        </w:rPr>
        <w:t>Corporate governance principles applied</w:t>
      </w:r>
    </w:p>
    <w:p w14:paraId="1323FDB0" w14:textId="77777777" w:rsidR="00E1198C" w:rsidRDefault="00E1198C">
      <w:pPr>
        <w:pStyle w:val="Tekstpodstawowy"/>
        <w:spacing w:before="123"/>
      </w:pPr>
    </w:p>
    <w:p w14:paraId="66C7F4C5" w14:textId="1E515459" w:rsidR="00E1198C" w:rsidRDefault="00000000">
      <w:pPr>
        <w:pStyle w:val="Tekstpodstawowy"/>
        <w:spacing w:line="280" w:lineRule="auto"/>
        <w:ind w:left="510" w:right="476"/>
        <w:jc w:val="both"/>
      </w:pPr>
      <w:r>
        <w:rPr>
          <w:noProof/>
        </w:rPr>
        <w:drawing>
          <wp:anchor distT="0" distB="0" distL="0" distR="0" simplePos="0" relativeHeight="251654656" behindDoc="1" locked="0" layoutInCell="1" allowOverlap="1" wp14:anchorId="07D67D1F" wp14:editId="4A8AB17A">
            <wp:simplePos x="0" y="0"/>
            <wp:positionH relativeFrom="page">
              <wp:posOffset>514506</wp:posOffset>
            </wp:positionH>
            <wp:positionV relativeFrom="paragraph">
              <wp:posOffset>286349</wp:posOffset>
            </wp:positionV>
            <wp:extent cx="6531379" cy="164356"/>
            <wp:effectExtent l="0" t="0" r="0" b="0"/>
            <wp:wrapNone/>
            <wp:docPr id="35" name="Imag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r:embed="rId13" cstate="print"/>
                    <a:stretch>
                      <a:fillRect/>
                    </a:stretch>
                  </pic:blipFill>
                  <pic:spPr>
                    <a:xfrm>
                      <a:off x="0" y="0"/>
                      <a:ext cx="6531379" cy="164356"/>
                    </a:xfrm>
                    <a:prstGeom prst="rect">
                      <a:avLst/>
                    </a:prstGeom>
                  </pic:spPr>
                </pic:pic>
              </a:graphicData>
            </a:graphic>
          </wp:anchor>
        </w:drawing>
      </w:r>
      <w:r>
        <w:t>Celon Pharma S.A. is subject to the corporate governance principles contained in the document “Best Practices of WSE-listed companies 2021”.</w:t>
      </w:r>
      <w:r>
        <w:rPr>
          <w:color w:val="231F20"/>
        </w:rPr>
        <w:t xml:space="preserve"> The text of the set “Best Practices of WSE listed companies 2021” is publicly </w:t>
      </w:r>
      <w:r w:rsidRPr="00122FB9">
        <w:rPr>
          <w:color w:val="231F20"/>
        </w:rPr>
        <w:t>available on the WSE website</w:t>
      </w:r>
      <w:r>
        <w:rPr>
          <w:color w:val="231F20"/>
        </w:rPr>
        <w:t xml:space="preserve">: </w:t>
      </w:r>
      <w:r>
        <w:rPr>
          <w:color w:val="0462C1"/>
        </w:rPr>
        <w:t>https://www.gpw.pl/dobre-</w:t>
      </w:r>
      <w:hyperlink r:id="rId14">
        <w:r w:rsidR="00E1198C">
          <w:rPr>
            <w:color w:val="0462C1"/>
          </w:rPr>
          <w:t>praktyki2021</w:t>
        </w:r>
      </w:hyperlink>
      <w:r>
        <w:rPr>
          <w:color w:val="231F20"/>
        </w:rPr>
        <w:t>. In 2023 the Company did not apply the 10 principles of DPSN2021: 1.3.1., 1.3.2., 1.4., 1.4.1., 1.4.2., 2.1., 2.2., 2.4., 3.3., 3.10., in addition, Principle 3.7, which reads as follows, did not apply to the Company: "Principles 3.4 – 3.6 apply also with respect to entities from the company’s group of significant importance for its operations, if persons carrying such tasks have been appointed therein”, because the Company does not form a capital group.</w:t>
      </w:r>
    </w:p>
    <w:p w14:paraId="20060D60" w14:textId="77777777" w:rsidR="00E1198C" w:rsidRDefault="00000000">
      <w:pPr>
        <w:pStyle w:val="Tekstpodstawowy"/>
        <w:spacing w:before="211"/>
        <w:ind w:left="510"/>
        <w:jc w:val="both"/>
      </w:pPr>
      <w:r>
        <w:rPr>
          <w:color w:val="231F20"/>
        </w:rPr>
        <w:t xml:space="preserve">The following is an explanation for the non-application of the </w:t>
      </w:r>
      <w:proofErr w:type="spellStart"/>
      <w:r>
        <w:rPr>
          <w:color w:val="231F20"/>
        </w:rPr>
        <w:t>DPSN</w:t>
      </w:r>
      <w:proofErr w:type="spellEnd"/>
      <w:r>
        <w:rPr>
          <w:color w:val="231F20"/>
        </w:rPr>
        <w:t xml:space="preserve"> 2021 principles:</w:t>
      </w:r>
    </w:p>
    <w:p w14:paraId="233BCD41" w14:textId="77777777" w:rsidR="00E1198C" w:rsidRDefault="00E1198C">
      <w:pPr>
        <w:pStyle w:val="Tekstpodstawowy"/>
        <w:spacing w:before="22"/>
      </w:pPr>
    </w:p>
    <w:p w14:paraId="483E04FD" w14:textId="77777777" w:rsidR="00E1198C" w:rsidRDefault="00000000">
      <w:pPr>
        <w:pStyle w:val="Akapitzlist"/>
        <w:numPr>
          <w:ilvl w:val="2"/>
          <w:numId w:val="32"/>
        </w:numPr>
        <w:tabs>
          <w:tab w:val="left" w:pos="985"/>
        </w:tabs>
        <w:spacing w:line="283" w:lineRule="auto"/>
        <w:ind w:right="475" w:firstLine="0"/>
        <w:jc w:val="both"/>
        <w:rPr>
          <w:sz w:val="18"/>
        </w:rPr>
      </w:pPr>
      <w:r>
        <w:rPr>
          <w:color w:val="231F20"/>
          <w:sz w:val="18"/>
        </w:rPr>
        <w:t>Companies integrate ESG factors in their business strategy, which include in particular: environmental factors, including measures and risks relating to climate change and sustainable development;</w:t>
      </w:r>
    </w:p>
    <w:p w14:paraId="0E52379A" w14:textId="77777777" w:rsidR="00E1198C" w:rsidRDefault="00000000">
      <w:pPr>
        <w:pStyle w:val="Tekstpodstawowy"/>
        <w:spacing w:before="213" w:line="273" w:lineRule="auto"/>
        <w:ind w:left="510" w:right="478"/>
        <w:jc w:val="both"/>
      </w:pPr>
      <w:r>
        <w:rPr>
          <w:color w:val="231F20"/>
        </w:rPr>
        <w:t>Company’s comment: The Company currently does not have a document in place specifying its ESG-including business strategy. At the same time, the Company takes into account the ESG factors in its operations with great attention, making every effort to ensure that its daily activities are in accordance with environmental requirements and are conducted sustainably. Moreover, the Company intends to formalize the current ESG issues and to prepare the Company’s strategy on ESG in the future.</w:t>
      </w:r>
    </w:p>
    <w:p w14:paraId="032BD2AF" w14:textId="77777777" w:rsidR="00E1198C" w:rsidRDefault="00E1198C">
      <w:pPr>
        <w:pStyle w:val="Tekstpodstawowy"/>
        <w:spacing w:before="5"/>
      </w:pPr>
    </w:p>
    <w:p w14:paraId="433E3ED8" w14:textId="77777777" w:rsidR="00E1198C" w:rsidRDefault="00000000">
      <w:pPr>
        <w:pStyle w:val="Akapitzlist"/>
        <w:numPr>
          <w:ilvl w:val="2"/>
          <w:numId w:val="32"/>
        </w:numPr>
        <w:tabs>
          <w:tab w:val="left" w:pos="956"/>
        </w:tabs>
        <w:spacing w:line="276" w:lineRule="auto"/>
        <w:ind w:right="477" w:firstLine="0"/>
        <w:jc w:val="both"/>
        <w:rPr>
          <w:sz w:val="18"/>
        </w:rPr>
      </w:pPr>
      <w:r>
        <w:rPr>
          <w:color w:val="231F20"/>
          <w:sz w:val="18"/>
        </w:rPr>
        <w:t xml:space="preserve">Companies integrate ESG factors in their business strategy, including in particular: social and employee factors, including </w:t>
      </w:r>
      <w:proofErr w:type="spellStart"/>
      <w:r>
        <w:rPr>
          <w:color w:val="231F20"/>
          <w:sz w:val="18"/>
        </w:rPr>
        <w:t>i.a.</w:t>
      </w:r>
      <w:proofErr w:type="spellEnd"/>
      <w:r>
        <w:rPr>
          <w:color w:val="231F20"/>
          <w:sz w:val="18"/>
        </w:rPr>
        <w:t xml:space="preserve"> actions taken and actions planned to ensure equal treatment of women and men, good working</w:t>
      </w:r>
      <w:r>
        <w:rPr>
          <w:color w:val="231F20"/>
          <w:sz w:val="18"/>
        </w:rPr>
        <w:cr/>
      </w:r>
      <w:r>
        <w:rPr>
          <w:color w:val="231F20"/>
          <w:sz w:val="18"/>
        </w:rPr>
        <w:br/>
        <w:t>conditions, respect for employees’ rights, dialog with local communities, customer relations.</w:t>
      </w:r>
    </w:p>
    <w:p w14:paraId="45FDB1F2" w14:textId="77777777" w:rsidR="00E1198C" w:rsidRDefault="00E1198C">
      <w:pPr>
        <w:pStyle w:val="Tekstpodstawowy"/>
        <w:spacing w:before="1"/>
      </w:pPr>
    </w:p>
    <w:p w14:paraId="30A07AB7" w14:textId="77777777" w:rsidR="00E1198C" w:rsidRDefault="00000000">
      <w:pPr>
        <w:pStyle w:val="Tekstpodstawowy"/>
        <w:spacing w:line="278" w:lineRule="auto"/>
        <w:ind w:left="510" w:right="478"/>
        <w:jc w:val="both"/>
      </w:pPr>
      <w:r>
        <w:rPr>
          <w:color w:val="231F20"/>
        </w:rPr>
        <w:t>Company’s comment: The Company currently does not have a document in place specifying its ESG-including business strategy. At the same time, the Company takes great care of social and employee issues in its daily activities, making every effort to ensure that these issues are always treated by the Company with the highest priority. Moreover, the Company intends to formalize the current ESG issues and to prepare the Company’s strategy on ESG in the future.</w:t>
      </w:r>
    </w:p>
    <w:p w14:paraId="1790843E" w14:textId="77777777" w:rsidR="00E1198C" w:rsidRDefault="00000000">
      <w:pPr>
        <w:pStyle w:val="Akapitzlist"/>
        <w:numPr>
          <w:ilvl w:val="1"/>
          <w:numId w:val="31"/>
        </w:numPr>
        <w:tabs>
          <w:tab w:val="left" w:pos="821"/>
        </w:tabs>
        <w:spacing w:before="208" w:line="283" w:lineRule="auto"/>
        <w:ind w:right="474" w:firstLine="0"/>
        <w:jc w:val="both"/>
        <w:rPr>
          <w:sz w:val="18"/>
        </w:rPr>
      </w:pPr>
      <w:r>
        <w:rPr>
          <w:color w:val="231F20"/>
          <w:sz w:val="18"/>
        </w:rPr>
        <w:t>To ensure good communication with stakeholders, as a part of the business strategy, the Company publishes on its website information concerning the framework of its strategy, measurable goals, including in particular long-term goals, planned activities and their status, defined by measures, both financial and non-financial.</w:t>
      </w:r>
    </w:p>
    <w:p w14:paraId="1E2DF61F" w14:textId="77777777" w:rsidR="00E1198C" w:rsidRDefault="00000000">
      <w:pPr>
        <w:pStyle w:val="Tekstpodstawowy"/>
        <w:spacing w:before="201" w:line="283" w:lineRule="auto"/>
        <w:ind w:left="510" w:right="480"/>
        <w:jc w:val="both"/>
      </w:pPr>
      <w:r>
        <w:rPr>
          <w:color w:val="231F20"/>
        </w:rPr>
        <w:t>Company’s comment: The Company publishes information on its business strategy and pipeline on the Company’s website, however, this information does not include all the elements indicated in principle 1.4.</w:t>
      </w:r>
    </w:p>
    <w:p w14:paraId="6447D48F" w14:textId="77777777" w:rsidR="00E1198C" w:rsidRDefault="00000000">
      <w:pPr>
        <w:pStyle w:val="Akapitzlist"/>
        <w:numPr>
          <w:ilvl w:val="2"/>
          <w:numId w:val="31"/>
        </w:numPr>
        <w:tabs>
          <w:tab w:val="left" w:pos="956"/>
        </w:tabs>
        <w:spacing w:before="213" w:line="271" w:lineRule="auto"/>
        <w:ind w:right="479" w:firstLine="0"/>
        <w:jc w:val="both"/>
        <w:rPr>
          <w:sz w:val="18"/>
        </w:rPr>
      </w:pPr>
      <w:r>
        <w:rPr>
          <w:color w:val="231F20"/>
          <w:sz w:val="18"/>
        </w:rPr>
        <w:t>ESG information concerning the strategy should among others: explain how the decision-making processes of the company and its group members integrate climate change, including the resulting risks;</w:t>
      </w:r>
    </w:p>
    <w:p w14:paraId="32B24EDD" w14:textId="77777777" w:rsidR="00E1198C" w:rsidRDefault="00E1198C">
      <w:pPr>
        <w:pStyle w:val="Tekstpodstawowy"/>
        <w:spacing w:before="15"/>
      </w:pPr>
    </w:p>
    <w:p w14:paraId="7D8830C0" w14:textId="77777777" w:rsidR="00E1198C" w:rsidRDefault="00000000">
      <w:pPr>
        <w:pStyle w:val="Tekstpodstawowy"/>
        <w:ind w:left="510"/>
        <w:jc w:val="both"/>
      </w:pPr>
      <w:r>
        <w:rPr>
          <w:color w:val="231F20"/>
        </w:rPr>
        <w:t>Company’s comment: The Company intends to include climate change issues in the document referred to in the comment on principle 1.3.1.</w:t>
      </w:r>
    </w:p>
    <w:p w14:paraId="6CC325FD" w14:textId="77777777" w:rsidR="00E1198C" w:rsidRDefault="00E1198C">
      <w:pPr>
        <w:pStyle w:val="Tekstpodstawowy"/>
        <w:spacing w:before="22"/>
      </w:pPr>
    </w:p>
    <w:p w14:paraId="15955F03" w14:textId="77777777" w:rsidR="00E1198C" w:rsidRDefault="00000000">
      <w:pPr>
        <w:pStyle w:val="Akapitzlist"/>
        <w:numPr>
          <w:ilvl w:val="2"/>
          <w:numId w:val="31"/>
        </w:numPr>
        <w:tabs>
          <w:tab w:val="left" w:pos="961"/>
        </w:tabs>
        <w:spacing w:line="276" w:lineRule="auto"/>
        <w:ind w:right="474" w:firstLine="0"/>
        <w:jc w:val="both"/>
        <w:rPr>
          <w:sz w:val="18"/>
        </w:rPr>
      </w:pPr>
      <w:r>
        <w:rPr>
          <w:color w:val="231F20"/>
          <w:sz w:val="18"/>
        </w:rPr>
        <w:t>ESG information concerning the strategy should among others: present the equal pay index for employees, defined as the percentage difference between the average monthly pay (including bonuses, awards and other benefits) of women and men in the previous year, and present information about actions taken to eliminate any pay gaps, including a presentation of related risks and the time horizon of the equality target.</w:t>
      </w:r>
    </w:p>
    <w:p w14:paraId="1E6AB28F" w14:textId="77777777" w:rsidR="00E1198C" w:rsidRDefault="00E1198C">
      <w:pPr>
        <w:pStyle w:val="Tekstpodstawowy"/>
        <w:spacing w:before="2"/>
      </w:pPr>
    </w:p>
    <w:p w14:paraId="7E50E1D3" w14:textId="77777777" w:rsidR="00E1198C" w:rsidRDefault="00000000">
      <w:pPr>
        <w:pStyle w:val="Tekstpodstawowy"/>
        <w:spacing w:line="283" w:lineRule="auto"/>
        <w:ind w:left="510" w:right="475"/>
        <w:jc w:val="both"/>
      </w:pPr>
      <w:r>
        <w:rPr>
          <w:color w:val="231F20"/>
        </w:rPr>
        <w:t>Company’s comment: The Company intends to include issues related to equal pay in the document referred to in the comment on principle 1.3.2.</w:t>
      </w:r>
    </w:p>
    <w:p w14:paraId="7FF45F99" w14:textId="77777777" w:rsidR="00E1198C" w:rsidRDefault="00000000">
      <w:pPr>
        <w:pStyle w:val="Akapitzlist"/>
        <w:numPr>
          <w:ilvl w:val="1"/>
          <w:numId w:val="30"/>
        </w:numPr>
        <w:tabs>
          <w:tab w:val="left" w:pos="804"/>
        </w:tabs>
        <w:spacing w:before="213" w:line="276" w:lineRule="auto"/>
        <w:ind w:right="478" w:firstLine="0"/>
        <w:jc w:val="both"/>
        <w:rPr>
          <w:sz w:val="18"/>
        </w:rPr>
      </w:pPr>
      <w:r>
        <w:rPr>
          <w:color w:val="231F20"/>
          <w:sz w:val="18"/>
        </w:rPr>
        <w:t>Companies should have a diversity policy in place , applicable to the management board and the supervisory board, approved by the supervisory board and the general meeting, respectively. The diversity policy defines diversity goals and criteria, among others including gender, education, expertise, age, professional experience, and specifies the target dates and the monitoring systems for such goals. With regard to gender diversity of corporate bodies, the participation of the minority group in each body should be at least 30%.</w:t>
      </w:r>
    </w:p>
    <w:p w14:paraId="5D046BD6" w14:textId="77777777" w:rsidR="00E1198C" w:rsidRDefault="00E1198C">
      <w:pPr>
        <w:spacing w:line="276" w:lineRule="auto"/>
        <w:jc w:val="both"/>
        <w:rPr>
          <w:sz w:val="18"/>
        </w:rPr>
        <w:sectPr w:rsidR="00E1198C">
          <w:pgSz w:w="11900" w:h="16840"/>
          <w:pgMar w:top="820" w:right="320" w:bottom="920" w:left="300" w:header="0" w:footer="726" w:gutter="0"/>
          <w:cols w:space="708"/>
        </w:sectPr>
      </w:pPr>
    </w:p>
    <w:p w14:paraId="0DA9E94E" w14:textId="77777777" w:rsidR="00E1198C" w:rsidRDefault="00000000">
      <w:pPr>
        <w:pStyle w:val="Tekstpodstawowy"/>
        <w:spacing w:before="61" w:line="276" w:lineRule="auto"/>
        <w:ind w:left="510" w:right="474"/>
        <w:jc w:val="both"/>
      </w:pPr>
      <w:r>
        <w:rPr>
          <w:color w:val="231F20"/>
        </w:rPr>
        <w:lastRenderedPageBreak/>
        <w:t>Company’s comment: The Company does not currently have a diversity policy applicable to the Management Board and the Supervisory Board, adopted by the Supervisory Board or the General Meeting, respectively. Despite the lack of standardized rules for the selection of members of the Company’s governing bodies,  the Company uses by design the knowledge and experience of people with different competences, regardless of their gender, age, education or professional experience is carried out. In terms of employment, the Company applies the principles of equal treatment and non-discrimination. Currently, the minority participation in the Supervisory Board is 20%, and there is no gender diversity within the Management Board.</w:t>
      </w:r>
    </w:p>
    <w:p w14:paraId="4A6812C7" w14:textId="77777777" w:rsidR="00E1198C" w:rsidRDefault="00E1198C">
      <w:pPr>
        <w:pStyle w:val="Tekstpodstawowy"/>
        <w:spacing w:before="2"/>
      </w:pPr>
    </w:p>
    <w:p w14:paraId="15A53409" w14:textId="77777777" w:rsidR="00E1198C" w:rsidRDefault="00000000">
      <w:pPr>
        <w:pStyle w:val="Akapitzlist"/>
        <w:numPr>
          <w:ilvl w:val="1"/>
          <w:numId w:val="30"/>
        </w:numPr>
        <w:tabs>
          <w:tab w:val="left" w:pos="842"/>
        </w:tabs>
        <w:spacing w:line="273" w:lineRule="auto"/>
        <w:ind w:right="478" w:firstLine="0"/>
        <w:jc w:val="both"/>
        <w:rPr>
          <w:sz w:val="18"/>
        </w:rPr>
      </w:pPr>
      <w:r>
        <w:rPr>
          <w:color w:val="231F20"/>
          <w:sz w:val="18"/>
        </w:rPr>
        <w:t>Decisions to elect members of the management board or the supervisory board of companies should ensure that the composition of those bodies is diverse by appointing persons ensuring diversity, among others in order to achieve the target minimum participation of the minority group of at least 30% according to the goals of the established diversity policy referred to in principle 2.1.</w:t>
      </w:r>
    </w:p>
    <w:p w14:paraId="7DCA0BA4" w14:textId="77777777" w:rsidR="00E1198C" w:rsidRDefault="00E1198C">
      <w:pPr>
        <w:pStyle w:val="Tekstpodstawowy"/>
        <w:spacing w:before="5"/>
      </w:pPr>
    </w:p>
    <w:p w14:paraId="4B2D92A1" w14:textId="77777777" w:rsidR="00E1198C" w:rsidRDefault="00000000">
      <w:pPr>
        <w:pStyle w:val="Tekstpodstawowy"/>
        <w:spacing w:line="276" w:lineRule="auto"/>
        <w:ind w:left="510" w:right="480"/>
        <w:jc w:val="both"/>
      </w:pPr>
      <w:r>
        <w:rPr>
          <w:color w:val="231F20"/>
        </w:rPr>
        <w:t>Company’s comment: The Company does not currently have a diversity policy applicable to the Management Board and the Supervisory Board, adopted by the Supervisory Board or the General Meeting, respectively. In terms of employment, the Company applies the principles of equal treatment and non-discrimination. Currently, the minority participation in the Supervisory Board is 20%, and there is no gender diversity within the Management Board.</w:t>
      </w:r>
    </w:p>
    <w:p w14:paraId="2E5F14AA" w14:textId="77777777" w:rsidR="00E1198C" w:rsidRDefault="00E1198C">
      <w:pPr>
        <w:pStyle w:val="Tekstpodstawowy"/>
        <w:spacing w:before="2"/>
      </w:pPr>
    </w:p>
    <w:p w14:paraId="10A87FFF" w14:textId="77777777" w:rsidR="00E1198C" w:rsidRDefault="00000000">
      <w:pPr>
        <w:pStyle w:val="Tekstpodstawowy"/>
        <w:ind w:left="510"/>
        <w:jc w:val="both"/>
      </w:pPr>
      <w:r>
        <w:rPr>
          <w:color w:val="231F20"/>
        </w:rPr>
        <w:t>2.4. The supervisory board and the management board vote in an open ballot unless otherwise required by law.</w:t>
      </w:r>
    </w:p>
    <w:p w14:paraId="2B4322FE" w14:textId="77777777" w:rsidR="00E1198C" w:rsidRDefault="00E1198C">
      <w:pPr>
        <w:pStyle w:val="Tekstpodstawowy"/>
        <w:spacing w:before="33"/>
      </w:pPr>
    </w:p>
    <w:p w14:paraId="49A23D72" w14:textId="77777777" w:rsidR="00E1198C" w:rsidRDefault="00000000">
      <w:pPr>
        <w:pStyle w:val="Tekstpodstawowy"/>
        <w:spacing w:line="283" w:lineRule="auto"/>
        <w:ind w:left="510" w:right="478"/>
        <w:jc w:val="both"/>
      </w:pPr>
      <w:r>
        <w:rPr>
          <w:color w:val="231F20"/>
        </w:rPr>
        <w:t>Company’s comment: The Rules of Procedure of the Supervisory Board currently provide that in a secret ballot is ordered whenever personal matters are voted on. The Management Board cast votes in an open ballot.</w:t>
      </w:r>
    </w:p>
    <w:p w14:paraId="701C09B7" w14:textId="77777777" w:rsidR="00E1198C" w:rsidRDefault="00000000">
      <w:pPr>
        <w:pStyle w:val="Tekstpodstawowy"/>
        <w:spacing w:before="213" w:line="273" w:lineRule="auto"/>
        <w:ind w:left="510" w:right="476"/>
        <w:jc w:val="both"/>
      </w:pPr>
      <w:r>
        <w:rPr>
          <w:color w:val="231F20"/>
        </w:rPr>
        <w:t>3.3. Companies participating in the WIG20, mWIG40 or sWIG80 index appoint an internal auditor to head the internal audit function in compliance with generally accepted international standards for the professional practice of internal auditing. In other companies which do not appoint an internal auditor who meets such requirements, the audit committee (or the supervisory board if it performs the functions of the audit committee) performs an annual assessment of whether such a person should be appointed.</w:t>
      </w:r>
    </w:p>
    <w:p w14:paraId="7EADA05F" w14:textId="77777777" w:rsidR="00E1198C" w:rsidRDefault="00E1198C">
      <w:pPr>
        <w:pStyle w:val="Tekstpodstawowy"/>
        <w:spacing w:before="5"/>
      </w:pPr>
    </w:p>
    <w:p w14:paraId="65EE561E" w14:textId="77777777" w:rsidR="00E1198C" w:rsidRDefault="00000000">
      <w:pPr>
        <w:pStyle w:val="Tekstpodstawowy"/>
        <w:spacing w:line="283" w:lineRule="auto"/>
        <w:ind w:left="510" w:right="481"/>
        <w:jc w:val="both"/>
      </w:pPr>
      <w:r>
        <w:rPr>
          <w:color w:val="231F20"/>
        </w:rPr>
        <w:t>Company’s comment: The Company does not currently have an internal auditor. The audit committee performs an annual assessment of whether such a person should be appointed.</w:t>
      </w:r>
    </w:p>
    <w:p w14:paraId="036AB59D" w14:textId="77777777" w:rsidR="00E1198C" w:rsidRDefault="00000000">
      <w:pPr>
        <w:pStyle w:val="Tekstpodstawowy"/>
        <w:spacing w:before="213" w:line="271" w:lineRule="auto"/>
        <w:ind w:left="510" w:right="481"/>
        <w:jc w:val="both"/>
      </w:pPr>
      <w:r>
        <w:rPr>
          <w:color w:val="231F20"/>
        </w:rPr>
        <w:t>3.10. Companies participating in the WIG20, mWIG40 or sWIG80 index have the internal audit function reviewed at least once every five years by an independent auditor appointed with the participation of the audit committee.</w:t>
      </w:r>
    </w:p>
    <w:p w14:paraId="2FC5ED0D" w14:textId="77777777" w:rsidR="00E1198C" w:rsidRDefault="00E1198C">
      <w:pPr>
        <w:pStyle w:val="Tekstpodstawowy"/>
        <w:spacing w:before="3"/>
      </w:pPr>
    </w:p>
    <w:p w14:paraId="5723DB38" w14:textId="77777777" w:rsidR="00E1198C" w:rsidRDefault="00000000">
      <w:pPr>
        <w:pStyle w:val="Tekstpodstawowy"/>
        <w:spacing w:before="1" w:line="276" w:lineRule="auto"/>
        <w:ind w:left="510" w:right="477"/>
        <w:jc w:val="both"/>
      </w:pPr>
      <w:r>
        <w:rPr>
          <w:color w:val="231F20"/>
        </w:rPr>
        <w:t>Company’s comment: The Company believes that given the limited size of the Company, adopting this principle at the moment is not justified. Currently, these functions are performed by the Management Board, the Supervisory Board and the managers of individual departments of the Company. The Company will consider applying the principle in the future, should it be found justified.</w:t>
      </w:r>
    </w:p>
    <w:p w14:paraId="159DE8D6" w14:textId="77777777" w:rsidR="00E1198C" w:rsidRDefault="00E1198C">
      <w:pPr>
        <w:pStyle w:val="Tekstpodstawowy"/>
        <w:spacing w:before="23"/>
      </w:pPr>
    </w:p>
    <w:p w14:paraId="65FA0606" w14:textId="77777777" w:rsidR="00E1198C" w:rsidRDefault="00000000">
      <w:pPr>
        <w:pStyle w:val="Akapitzlist"/>
        <w:numPr>
          <w:ilvl w:val="1"/>
          <w:numId w:val="43"/>
        </w:numPr>
        <w:tabs>
          <w:tab w:val="left" w:pos="1087"/>
        </w:tabs>
        <w:ind w:left="1087" w:hanging="577"/>
        <w:jc w:val="both"/>
        <w:rPr>
          <w:sz w:val="18"/>
        </w:rPr>
      </w:pPr>
      <w:r>
        <w:rPr>
          <w:color w:val="F07D00"/>
          <w:sz w:val="18"/>
        </w:rPr>
        <w:t>Share capital and shareholders of the Company holding significant shares</w:t>
      </w:r>
      <w:r>
        <w:rPr>
          <w:color w:val="F07D00"/>
          <w:sz w:val="18"/>
        </w:rPr>
        <w:tab/>
      </w:r>
    </w:p>
    <w:p w14:paraId="43C5FB6E" w14:textId="77777777" w:rsidR="00E1198C" w:rsidRDefault="00E1198C">
      <w:pPr>
        <w:pStyle w:val="Tekstpodstawowy"/>
        <w:spacing w:before="135"/>
      </w:pPr>
    </w:p>
    <w:p w14:paraId="1D4B9057" w14:textId="77777777" w:rsidR="00E1198C" w:rsidRDefault="00000000">
      <w:pPr>
        <w:pStyle w:val="Tekstpodstawowy"/>
        <w:ind w:left="510"/>
        <w:jc w:val="both"/>
      </w:pPr>
      <w:r>
        <w:rPr>
          <w:color w:val="231F20"/>
        </w:rPr>
        <w:t>As at January 1, 2024, the Company's share capital was PLN 5,105,650 and was divided into 51,056,500 shares, including:</w:t>
      </w:r>
    </w:p>
    <w:p w14:paraId="76ED2A3A" w14:textId="77777777" w:rsidR="00E1198C" w:rsidRDefault="00000000">
      <w:pPr>
        <w:pStyle w:val="Akapitzlist"/>
        <w:numPr>
          <w:ilvl w:val="0"/>
          <w:numId w:val="29"/>
        </w:numPr>
        <w:tabs>
          <w:tab w:val="left" w:pos="1230"/>
        </w:tabs>
        <w:spacing w:before="196" w:line="244" w:lineRule="auto"/>
        <w:ind w:right="480"/>
        <w:rPr>
          <w:sz w:val="18"/>
        </w:rPr>
      </w:pPr>
      <w:r>
        <w:rPr>
          <w:color w:val="231F20"/>
          <w:sz w:val="18"/>
        </w:rPr>
        <w:t>15,000,000 registered A1-series shares, privileged as to voting in such a way that each share carries two votes at the General Meeting of the Company</w:t>
      </w:r>
    </w:p>
    <w:p w14:paraId="0379DDFF" w14:textId="77777777" w:rsidR="00E1198C" w:rsidRDefault="00000000">
      <w:pPr>
        <w:pStyle w:val="Akapitzlist"/>
        <w:numPr>
          <w:ilvl w:val="0"/>
          <w:numId w:val="29"/>
        </w:numPr>
        <w:tabs>
          <w:tab w:val="left" w:pos="1230"/>
        </w:tabs>
        <w:spacing w:before="194"/>
        <w:ind w:hanging="360"/>
        <w:rPr>
          <w:sz w:val="18"/>
        </w:rPr>
      </w:pPr>
      <w:r>
        <w:rPr>
          <w:color w:val="231F20"/>
          <w:sz w:val="18"/>
        </w:rPr>
        <w:t>15,000,000 ordinary A2-series bearer shares</w:t>
      </w:r>
    </w:p>
    <w:p w14:paraId="75463AE7" w14:textId="77777777" w:rsidR="00E1198C" w:rsidRDefault="00000000">
      <w:pPr>
        <w:pStyle w:val="Akapitzlist"/>
        <w:numPr>
          <w:ilvl w:val="0"/>
          <w:numId w:val="29"/>
        </w:numPr>
        <w:tabs>
          <w:tab w:val="left" w:pos="1230"/>
        </w:tabs>
        <w:spacing w:before="196"/>
        <w:ind w:hanging="360"/>
        <w:rPr>
          <w:sz w:val="18"/>
        </w:rPr>
      </w:pPr>
      <w:r>
        <w:rPr>
          <w:color w:val="231F20"/>
          <w:sz w:val="18"/>
        </w:rPr>
        <w:t>15,000,000 ordinary B-series bearer shares</w:t>
      </w:r>
    </w:p>
    <w:p w14:paraId="224EA3C2" w14:textId="77777777" w:rsidR="00E1198C" w:rsidRDefault="00000000">
      <w:pPr>
        <w:pStyle w:val="Akapitzlist"/>
        <w:numPr>
          <w:ilvl w:val="0"/>
          <w:numId w:val="29"/>
        </w:numPr>
        <w:tabs>
          <w:tab w:val="left" w:pos="1230"/>
        </w:tabs>
        <w:spacing w:before="197"/>
        <w:ind w:hanging="360"/>
        <w:rPr>
          <w:sz w:val="18"/>
        </w:rPr>
      </w:pPr>
      <w:r>
        <w:rPr>
          <w:color w:val="231F20"/>
          <w:sz w:val="18"/>
        </w:rPr>
        <w:t>56,500 ordinary C-series bearer shares</w:t>
      </w:r>
    </w:p>
    <w:p w14:paraId="3DED1C6C" w14:textId="77777777" w:rsidR="00E1198C" w:rsidRDefault="00000000">
      <w:pPr>
        <w:pStyle w:val="Akapitzlist"/>
        <w:numPr>
          <w:ilvl w:val="0"/>
          <w:numId w:val="29"/>
        </w:numPr>
        <w:tabs>
          <w:tab w:val="left" w:pos="1230"/>
        </w:tabs>
        <w:spacing w:before="208"/>
        <w:ind w:hanging="360"/>
        <w:rPr>
          <w:sz w:val="18"/>
        </w:rPr>
      </w:pPr>
      <w:r>
        <w:rPr>
          <w:color w:val="231F20"/>
          <w:sz w:val="18"/>
        </w:rPr>
        <w:t>6,000,000 ordinary D-series bearer shares</w:t>
      </w:r>
    </w:p>
    <w:p w14:paraId="4C6837FF" w14:textId="311DA75C" w:rsidR="00E1198C" w:rsidRDefault="00000000">
      <w:pPr>
        <w:pStyle w:val="Tekstpodstawowy"/>
        <w:spacing w:before="197"/>
        <w:ind w:left="510"/>
        <w:jc w:val="both"/>
      </w:pPr>
      <w:r>
        <w:rPr>
          <w:color w:val="231F20"/>
        </w:rPr>
        <w:t>The total number of votes arising from all shares issued by the Company was 66,056,500 as at January 1, 2024.</w:t>
      </w:r>
    </w:p>
    <w:p w14:paraId="55390688" w14:textId="59AA43C5" w:rsidR="00E1198C" w:rsidRDefault="00000000">
      <w:pPr>
        <w:pStyle w:val="Tekstpodstawowy"/>
        <w:spacing w:before="196"/>
        <w:ind w:left="510" w:right="479"/>
        <w:jc w:val="both"/>
      </w:pPr>
      <w:r>
        <w:rPr>
          <w:color w:val="231F20"/>
        </w:rPr>
        <w:t>In August 2024, the District Court for the Capital City of Warsaw in Warsaw, 14th Commercial Division of the National Court Register, registered the increase of the Company's share capital by PLN 270,000 to PLN 5,375,650, realized through the issuance of 2,700,000 ordinary bearer E-series shares with a nominal value of PLN 0.10 each, with the exclusion of pre-emptive rights, in the mode of a private offering within the meaning of Article 431 § 2 point 1 of the Commercial Companies Code conducted within the framework of an offer directed to an individually specified entity – Tang Capital Partners, LP (see sections 2.2 and 3.10) .</w:t>
      </w:r>
    </w:p>
    <w:p w14:paraId="60F654E1" w14:textId="7804EF7F" w:rsidR="00E1198C" w:rsidRDefault="00000000" w:rsidP="00122FB9">
      <w:pPr>
        <w:pStyle w:val="Tekstpodstawowy"/>
        <w:spacing w:before="207"/>
        <w:ind w:left="426" w:right="474"/>
        <w:jc w:val="both"/>
        <w:sectPr w:rsidR="00E1198C">
          <w:pgSz w:w="11900" w:h="16840"/>
          <w:pgMar w:top="820" w:right="320" w:bottom="920" w:left="300" w:header="0" w:footer="726" w:gutter="0"/>
          <w:cols w:space="708"/>
        </w:sectPr>
      </w:pPr>
      <w:r>
        <w:rPr>
          <w:color w:val="231F20"/>
        </w:rPr>
        <w:t xml:space="preserve">During the reporting period, 100,000 C-series shares of the Company, with a nominal value of PLN 0.10 each, were also registered in the securities account of the entitled person, subscribed under the conditional increase of the Company's share capital in exchange for A-series subscription warrants under the Incentive Program (information on the allocation of warrants was published in current report no. 16/2024). With the granting of the aforementioned shares, in accordance with Article 452 § 1 of the Commercial Companies Code, the rights from the shares were acquired and the Company's share capital was increased by the amount of PLN 10,000 (current report no. 20/2024 dated August </w:t>
      </w:r>
      <w:r>
        <w:rPr>
          <w:color w:val="231F20"/>
        </w:rPr>
        <w:lastRenderedPageBreak/>
        <w:t>20, 2024). In accordance with Article 452 § 4 of the Commercial Companies Code, the Company's Management Board</w:t>
      </w:r>
    </w:p>
    <w:p w14:paraId="65231799" w14:textId="7C637005" w:rsidR="00E1198C" w:rsidRDefault="00000000" w:rsidP="00122FB9">
      <w:pPr>
        <w:pStyle w:val="Tekstpodstawowy"/>
        <w:spacing w:before="61"/>
        <w:ind w:left="426"/>
      </w:pPr>
      <w:r>
        <w:rPr>
          <w:color w:val="231F20"/>
        </w:rPr>
        <w:t>filed a motion with the registration court to update the entry on the Company's share capital.</w:t>
      </w:r>
    </w:p>
    <w:p w14:paraId="0E4D3CF3" w14:textId="19A06BFC" w:rsidR="00E1198C" w:rsidRDefault="00000000">
      <w:pPr>
        <w:pStyle w:val="Tekstpodstawowy"/>
        <w:spacing w:before="213" w:line="232" w:lineRule="auto"/>
        <w:ind w:left="510" w:right="472"/>
      </w:pPr>
      <w:r>
        <w:rPr>
          <w:color w:val="231F20"/>
        </w:rPr>
        <w:t>Therefore, as of the date of publication of this report, the  Company's share capital is PLN 5,385,650 and was divided into 53,856,500 shares, including:</w:t>
      </w:r>
    </w:p>
    <w:p w14:paraId="4427ED20" w14:textId="77777777" w:rsidR="00E1198C" w:rsidRDefault="00000000">
      <w:pPr>
        <w:pStyle w:val="Akapitzlist"/>
        <w:numPr>
          <w:ilvl w:val="0"/>
          <w:numId w:val="29"/>
        </w:numPr>
        <w:tabs>
          <w:tab w:val="left" w:pos="1230"/>
        </w:tabs>
        <w:spacing w:before="199" w:line="244" w:lineRule="auto"/>
        <w:ind w:right="479"/>
        <w:rPr>
          <w:sz w:val="18"/>
        </w:rPr>
      </w:pPr>
      <w:r>
        <w:rPr>
          <w:color w:val="231F20"/>
          <w:sz w:val="18"/>
        </w:rPr>
        <w:t>15,000,000 registered A1-series shares, privileged as to voting in such a way that each share carries two votes at the General Meeting of the Company</w:t>
      </w:r>
    </w:p>
    <w:p w14:paraId="4AC0BCF7" w14:textId="77777777" w:rsidR="00E1198C" w:rsidRDefault="00000000">
      <w:pPr>
        <w:pStyle w:val="Akapitzlist"/>
        <w:numPr>
          <w:ilvl w:val="0"/>
          <w:numId w:val="29"/>
        </w:numPr>
        <w:tabs>
          <w:tab w:val="left" w:pos="1230"/>
        </w:tabs>
        <w:spacing w:before="193"/>
        <w:ind w:hanging="360"/>
        <w:rPr>
          <w:sz w:val="18"/>
        </w:rPr>
      </w:pPr>
      <w:r>
        <w:rPr>
          <w:color w:val="231F20"/>
          <w:sz w:val="18"/>
        </w:rPr>
        <w:t>15,000,000 ordinary A2-series bearer shares</w:t>
      </w:r>
    </w:p>
    <w:p w14:paraId="5F1E2F7D" w14:textId="77777777" w:rsidR="00E1198C" w:rsidRDefault="00000000">
      <w:pPr>
        <w:pStyle w:val="Akapitzlist"/>
        <w:numPr>
          <w:ilvl w:val="0"/>
          <w:numId w:val="29"/>
        </w:numPr>
        <w:tabs>
          <w:tab w:val="left" w:pos="1230"/>
        </w:tabs>
        <w:spacing w:before="208"/>
        <w:ind w:hanging="360"/>
        <w:rPr>
          <w:sz w:val="18"/>
        </w:rPr>
      </w:pPr>
      <w:r>
        <w:rPr>
          <w:color w:val="231F20"/>
          <w:sz w:val="18"/>
        </w:rPr>
        <w:t>15,000,000 ordinary B-series bearer shares</w:t>
      </w:r>
    </w:p>
    <w:p w14:paraId="2410AD7F" w14:textId="77777777" w:rsidR="00E1198C" w:rsidRDefault="00000000">
      <w:pPr>
        <w:pStyle w:val="Akapitzlist"/>
        <w:numPr>
          <w:ilvl w:val="0"/>
          <w:numId w:val="29"/>
        </w:numPr>
        <w:tabs>
          <w:tab w:val="left" w:pos="1230"/>
        </w:tabs>
        <w:spacing w:before="197"/>
        <w:ind w:hanging="360"/>
        <w:rPr>
          <w:sz w:val="18"/>
        </w:rPr>
      </w:pPr>
      <w:r>
        <w:rPr>
          <w:color w:val="231F20"/>
          <w:sz w:val="18"/>
        </w:rPr>
        <w:t>156,500 ordinary C-series bearer shares</w:t>
      </w:r>
    </w:p>
    <w:p w14:paraId="2EDCA7DF" w14:textId="77777777" w:rsidR="00E1198C" w:rsidRDefault="00000000">
      <w:pPr>
        <w:pStyle w:val="Akapitzlist"/>
        <w:numPr>
          <w:ilvl w:val="0"/>
          <w:numId w:val="29"/>
        </w:numPr>
        <w:tabs>
          <w:tab w:val="left" w:pos="1230"/>
        </w:tabs>
        <w:spacing w:before="196"/>
        <w:ind w:hanging="360"/>
        <w:rPr>
          <w:sz w:val="18"/>
        </w:rPr>
      </w:pPr>
      <w:r>
        <w:rPr>
          <w:color w:val="231F20"/>
          <w:sz w:val="18"/>
        </w:rPr>
        <w:t>6,000,000 ordinary D-series bearer shares</w:t>
      </w:r>
    </w:p>
    <w:p w14:paraId="6220DB78" w14:textId="3A5B6589" w:rsidR="00E1198C" w:rsidRDefault="00000000">
      <w:pPr>
        <w:pStyle w:val="Akapitzlist"/>
        <w:numPr>
          <w:ilvl w:val="0"/>
          <w:numId w:val="29"/>
        </w:numPr>
        <w:tabs>
          <w:tab w:val="left" w:pos="1230"/>
        </w:tabs>
        <w:spacing w:before="208"/>
        <w:ind w:hanging="360"/>
        <w:rPr>
          <w:sz w:val="18"/>
        </w:rPr>
      </w:pPr>
      <w:r>
        <w:rPr>
          <w:color w:val="231F20"/>
          <w:sz w:val="18"/>
        </w:rPr>
        <w:t>2,700,000 ordinary E-series bearer shares,</w:t>
      </w:r>
    </w:p>
    <w:p w14:paraId="2190730C" w14:textId="5F52FB14" w:rsidR="00E1198C" w:rsidRDefault="00000000">
      <w:pPr>
        <w:pStyle w:val="Tekstpodstawowy"/>
        <w:spacing w:before="202" w:line="232" w:lineRule="auto"/>
        <w:ind w:left="510"/>
      </w:pPr>
      <w:r>
        <w:rPr>
          <w:color w:val="231F20"/>
        </w:rPr>
        <w:t>As of the date of publication of this report, the total number of votes arising from all shares issued by the Company is 68,856,500.</w:t>
      </w:r>
    </w:p>
    <w:p w14:paraId="3D9A4EC7" w14:textId="1706250E" w:rsidR="00E1198C" w:rsidRDefault="00000000">
      <w:pPr>
        <w:pStyle w:val="Tekstpodstawowy"/>
        <w:spacing w:before="120" w:line="244" w:lineRule="auto"/>
        <w:ind w:left="510" w:right="472"/>
      </w:pPr>
      <w:r>
        <w:rPr>
          <w:color w:val="231F20"/>
        </w:rPr>
        <w:t>Shareholders holding, directly or indirectly through subsidiaries, at least 5% of the total number of votes at the General Meeting of Celon Pharma S.A. as at December 31, 2024 and as at the date of publication of this report are presented in the table below.</w:t>
      </w:r>
    </w:p>
    <w:p w14:paraId="78B30794" w14:textId="77777777" w:rsidR="00E1198C" w:rsidRDefault="00E1198C">
      <w:pPr>
        <w:pStyle w:val="Tekstpodstawowy"/>
        <w:spacing w:before="24" w:after="1"/>
        <w:rPr>
          <w:sz w:val="20"/>
        </w:rPr>
      </w:pPr>
    </w:p>
    <w:tbl>
      <w:tblPr>
        <w:tblStyle w:val="TableNormal"/>
        <w:tblW w:w="0" w:type="auto"/>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95"/>
        <w:gridCol w:w="1506"/>
        <w:gridCol w:w="1417"/>
        <w:gridCol w:w="1276"/>
        <w:gridCol w:w="1374"/>
      </w:tblGrid>
      <w:tr w:rsidR="009903A1" w14:paraId="2E25BDEA" w14:textId="77777777" w:rsidTr="009903A1">
        <w:trPr>
          <w:trHeight w:val="216"/>
        </w:trPr>
        <w:tc>
          <w:tcPr>
            <w:tcW w:w="4695" w:type="dxa"/>
            <w:tcBorders>
              <w:top w:val="nil"/>
              <w:left w:val="nil"/>
              <w:bottom w:val="nil"/>
              <w:right w:val="nil"/>
            </w:tcBorders>
            <w:shd w:val="clear" w:color="auto" w:fill="808080" w:themeFill="background1" w:themeFillShade="80"/>
            <w:vAlign w:val="center"/>
          </w:tcPr>
          <w:p w14:paraId="0736A591" w14:textId="6B8CFD29" w:rsidR="009903A1" w:rsidRPr="009903A1" w:rsidRDefault="009903A1" w:rsidP="009903A1">
            <w:pPr>
              <w:pStyle w:val="TableParagraph"/>
              <w:spacing w:line="196" w:lineRule="exact"/>
              <w:ind w:left="50"/>
              <w:jc w:val="center"/>
              <w:rPr>
                <w:b/>
                <w:bCs/>
                <w:color w:val="FFFFFF" w:themeColor="background1"/>
                <w:sz w:val="18"/>
              </w:rPr>
            </w:pPr>
            <w:r>
              <w:rPr>
                <w:b/>
                <w:color w:val="FFFFFF" w:themeColor="background1"/>
                <w:sz w:val="18"/>
              </w:rPr>
              <w:t>Shareholder</w:t>
            </w:r>
          </w:p>
        </w:tc>
        <w:tc>
          <w:tcPr>
            <w:tcW w:w="1506" w:type="dxa"/>
            <w:tcBorders>
              <w:top w:val="nil"/>
              <w:left w:val="nil"/>
              <w:bottom w:val="nil"/>
              <w:right w:val="nil"/>
            </w:tcBorders>
            <w:shd w:val="clear" w:color="auto" w:fill="808080" w:themeFill="background1" w:themeFillShade="80"/>
            <w:vAlign w:val="center"/>
          </w:tcPr>
          <w:p w14:paraId="6A81095B" w14:textId="1B2AC02F" w:rsidR="009903A1" w:rsidRPr="009903A1" w:rsidRDefault="009903A1" w:rsidP="009903A1">
            <w:pPr>
              <w:pStyle w:val="TableParagraph"/>
              <w:spacing w:line="196" w:lineRule="exact"/>
              <w:ind w:left="50"/>
              <w:jc w:val="center"/>
              <w:rPr>
                <w:b/>
                <w:bCs/>
                <w:color w:val="FFFFFF" w:themeColor="background1"/>
                <w:sz w:val="18"/>
              </w:rPr>
            </w:pPr>
            <w:r>
              <w:rPr>
                <w:b/>
                <w:color w:val="FFFFFF" w:themeColor="background1"/>
                <w:sz w:val="18"/>
              </w:rPr>
              <w:t>Number of shares</w:t>
            </w:r>
          </w:p>
        </w:tc>
        <w:tc>
          <w:tcPr>
            <w:tcW w:w="1417" w:type="dxa"/>
            <w:tcBorders>
              <w:top w:val="nil"/>
              <w:left w:val="nil"/>
              <w:bottom w:val="nil"/>
              <w:right w:val="nil"/>
            </w:tcBorders>
            <w:shd w:val="clear" w:color="auto" w:fill="808080" w:themeFill="background1" w:themeFillShade="80"/>
            <w:vAlign w:val="center"/>
          </w:tcPr>
          <w:p w14:paraId="7350D587" w14:textId="438E6D84" w:rsidR="009903A1" w:rsidRPr="009903A1" w:rsidRDefault="009903A1" w:rsidP="009903A1">
            <w:pPr>
              <w:pStyle w:val="TableParagraph"/>
              <w:spacing w:line="196" w:lineRule="exact"/>
              <w:ind w:left="50"/>
              <w:jc w:val="center"/>
              <w:rPr>
                <w:b/>
                <w:bCs/>
                <w:color w:val="FFFFFF" w:themeColor="background1"/>
                <w:sz w:val="18"/>
              </w:rPr>
            </w:pPr>
            <w:r>
              <w:rPr>
                <w:b/>
                <w:color w:val="FFFFFF" w:themeColor="background1"/>
                <w:sz w:val="18"/>
              </w:rPr>
              <w:t>Percentage share in the share capital</w:t>
            </w:r>
          </w:p>
        </w:tc>
        <w:tc>
          <w:tcPr>
            <w:tcW w:w="1276" w:type="dxa"/>
            <w:tcBorders>
              <w:top w:val="nil"/>
              <w:left w:val="nil"/>
              <w:bottom w:val="nil"/>
              <w:right w:val="nil"/>
            </w:tcBorders>
            <w:shd w:val="clear" w:color="auto" w:fill="808080" w:themeFill="background1" w:themeFillShade="80"/>
            <w:vAlign w:val="center"/>
          </w:tcPr>
          <w:p w14:paraId="7F1C8457" w14:textId="0D7724F5" w:rsidR="009903A1" w:rsidRPr="009903A1" w:rsidRDefault="009903A1" w:rsidP="009903A1">
            <w:pPr>
              <w:pStyle w:val="TableParagraph"/>
              <w:spacing w:line="196" w:lineRule="exact"/>
              <w:ind w:left="50"/>
              <w:jc w:val="center"/>
              <w:rPr>
                <w:b/>
                <w:bCs/>
                <w:color w:val="FFFFFF" w:themeColor="background1"/>
                <w:sz w:val="18"/>
              </w:rPr>
            </w:pPr>
            <w:r>
              <w:rPr>
                <w:b/>
                <w:color w:val="FFFFFF" w:themeColor="background1"/>
                <w:sz w:val="18"/>
              </w:rPr>
              <w:t>Number of votes</w:t>
            </w:r>
          </w:p>
        </w:tc>
        <w:tc>
          <w:tcPr>
            <w:tcW w:w="1374" w:type="dxa"/>
            <w:tcBorders>
              <w:top w:val="nil"/>
              <w:left w:val="nil"/>
              <w:bottom w:val="nil"/>
              <w:right w:val="nil"/>
            </w:tcBorders>
            <w:shd w:val="clear" w:color="auto" w:fill="808080" w:themeFill="background1" w:themeFillShade="80"/>
            <w:vAlign w:val="center"/>
          </w:tcPr>
          <w:p w14:paraId="567A5543" w14:textId="3CA635D6" w:rsidR="009903A1" w:rsidRPr="009903A1" w:rsidRDefault="009903A1" w:rsidP="009903A1">
            <w:pPr>
              <w:pStyle w:val="TableParagraph"/>
              <w:spacing w:line="196" w:lineRule="exact"/>
              <w:ind w:left="50"/>
              <w:jc w:val="center"/>
              <w:rPr>
                <w:b/>
                <w:bCs/>
                <w:color w:val="FFFFFF" w:themeColor="background1"/>
                <w:sz w:val="18"/>
              </w:rPr>
            </w:pPr>
            <w:r>
              <w:rPr>
                <w:b/>
                <w:color w:val="FFFFFF" w:themeColor="background1"/>
                <w:sz w:val="18"/>
              </w:rPr>
              <w:t>Percentage share in the total number of votes</w:t>
            </w:r>
          </w:p>
        </w:tc>
      </w:tr>
      <w:tr w:rsidR="00E1198C" w14:paraId="53C1DAC1" w14:textId="77777777" w:rsidTr="009903A1">
        <w:trPr>
          <w:trHeight w:val="320"/>
        </w:trPr>
        <w:tc>
          <w:tcPr>
            <w:tcW w:w="4695" w:type="dxa"/>
            <w:tcBorders>
              <w:top w:val="nil"/>
            </w:tcBorders>
          </w:tcPr>
          <w:p w14:paraId="78F373ED" w14:textId="2806AC8A" w:rsidR="00E1198C" w:rsidRDefault="009903A1">
            <w:pPr>
              <w:pStyle w:val="TableParagraph"/>
              <w:spacing w:before="8"/>
              <w:ind w:left="50"/>
              <w:rPr>
                <w:sz w:val="18"/>
              </w:rPr>
            </w:pPr>
            <w:r>
              <w:rPr>
                <w:color w:val="231F20"/>
                <w:sz w:val="18"/>
              </w:rPr>
              <w:t>Maciej Wieczorek indirectly through Glatton Sp. z o.o.</w:t>
            </w:r>
            <w:r w:rsidR="00122FB9">
              <w:rPr>
                <w:color w:val="231F20"/>
                <w:sz w:val="18"/>
              </w:rPr>
              <w:br/>
            </w:r>
            <w:r>
              <w:rPr>
                <w:color w:val="231F20"/>
                <w:sz w:val="18"/>
              </w:rPr>
              <w:t>(100% of shares)*</w:t>
            </w:r>
          </w:p>
        </w:tc>
        <w:tc>
          <w:tcPr>
            <w:tcW w:w="1506" w:type="dxa"/>
            <w:tcBorders>
              <w:top w:val="nil"/>
            </w:tcBorders>
          </w:tcPr>
          <w:p w14:paraId="2EB33499" w14:textId="77777777" w:rsidR="00E1198C" w:rsidRDefault="00000000">
            <w:pPr>
              <w:pStyle w:val="TableParagraph"/>
              <w:spacing w:before="31"/>
              <w:ind w:left="7" w:right="69"/>
              <w:jc w:val="center"/>
              <w:rPr>
                <w:sz w:val="18"/>
              </w:rPr>
            </w:pPr>
            <w:r>
              <w:rPr>
                <w:color w:val="231F20"/>
                <w:sz w:val="18"/>
              </w:rPr>
              <w:t>30,027,531</w:t>
            </w:r>
          </w:p>
        </w:tc>
        <w:tc>
          <w:tcPr>
            <w:tcW w:w="1417" w:type="dxa"/>
            <w:tcBorders>
              <w:top w:val="nil"/>
            </w:tcBorders>
          </w:tcPr>
          <w:p w14:paraId="2BF5A1D5" w14:textId="77777777" w:rsidR="00E1198C" w:rsidRDefault="00000000">
            <w:pPr>
              <w:pStyle w:val="TableParagraph"/>
              <w:spacing w:before="31"/>
              <w:ind w:left="303" w:right="68"/>
              <w:jc w:val="center"/>
              <w:rPr>
                <w:sz w:val="18"/>
              </w:rPr>
            </w:pPr>
            <w:r>
              <w:rPr>
                <w:color w:val="231F20"/>
                <w:sz w:val="18"/>
              </w:rPr>
              <w:t>55.8%</w:t>
            </w:r>
          </w:p>
        </w:tc>
        <w:tc>
          <w:tcPr>
            <w:tcW w:w="1276" w:type="dxa"/>
            <w:tcBorders>
              <w:top w:val="nil"/>
            </w:tcBorders>
          </w:tcPr>
          <w:p w14:paraId="094E3077" w14:textId="77777777" w:rsidR="00E1198C" w:rsidRDefault="00000000" w:rsidP="00122FB9">
            <w:pPr>
              <w:pStyle w:val="TableParagraph"/>
              <w:spacing w:before="31"/>
              <w:ind w:right="139"/>
              <w:jc w:val="right"/>
              <w:rPr>
                <w:sz w:val="18"/>
              </w:rPr>
            </w:pPr>
            <w:r>
              <w:rPr>
                <w:color w:val="231F20"/>
                <w:sz w:val="18"/>
              </w:rPr>
              <w:t>45,027,531</w:t>
            </w:r>
          </w:p>
        </w:tc>
        <w:tc>
          <w:tcPr>
            <w:tcW w:w="1374" w:type="dxa"/>
            <w:tcBorders>
              <w:top w:val="nil"/>
            </w:tcBorders>
          </w:tcPr>
          <w:p w14:paraId="17A5EEAB" w14:textId="77777777" w:rsidR="00E1198C" w:rsidRDefault="00000000">
            <w:pPr>
              <w:pStyle w:val="TableParagraph"/>
              <w:spacing w:before="31"/>
              <w:ind w:right="47"/>
              <w:jc w:val="right"/>
              <w:rPr>
                <w:sz w:val="18"/>
              </w:rPr>
            </w:pPr>
            <w:r>
              <w:rPr>
                <w:color w:val="231F20"/>
                <w:sz w:val="18"/>
              </w:rPr>
              <w:t>65.4%</w:t>
            </w:r>
          </w:p>
        </w:tc>
      </w:tr>
      <w:tr w:rsidR="00E1198C" w14:paraId="4C41D3FF" w14:textId="77777777" w:rsidTr="009903A1">
        <w:trPr>
          <w:trHeight w:val="562"/>
        </w:trPr>
        <w:tc>
          <w:tcPr>
            <w:tcW w:w="4695" w:type="dxa"/>
          </w:tcPr>
          <w:p w14:paraId="4EF206A3" w14:textId="77777777" w:rsidR="00E1198C" w:rsidRPr="00650FD4" w:rsidRDefault="00000000">
            <w:pPr>
              <w:pStyle w:val="TableParagraph"/>
              <w:spacing w:before="64" w:line="232" w:lineRule="auto"/>
              <w:ind w:left="50" w:right="1069"/>
              <w:rPr>
                <w:sz w:val="18"/>
                <w:lang w:val="pl-PL"/>
              </w:rPr>
            </w:pPr>
            <w:proofErr w:type="spellStart"/>
            <w:r w:rsidRPr="00650FD4">
              <w:rPr>
                <w:color w:val="231F20"/>
                <w:sz w:val="18"/>
                <w:lang w:val="pl-PL"/>
              </w:rPr>
              <w:t>Funds</w:t>
            </w:r>
            <w:proofErr w:type="spellEnd"/>
            <w:r w:rsidRPr="00650FD4">
              <w:rPr>
                <w:color w:val="231F20"/>
                <w:sz w:val="18"/>
                <w:lang w:val="pl-PL"/>
              </w:rPr>
              <w:t xml:space="preserve"> </w:t>
            </w:r>
            <w:proofErr w:type="spellStart"/>
            <w:r w:rsidRPr="00650FD4">
              <w:rPr>
                <w:color w:val="231F20"/>
                <w:sz w:val="18"/>
                <w:lang w:val="pl-PL"/>
              </w:rPr>
              <w:t>managed</w:t>
            </w:r>
            <w:proofErr w:type="spellEnd"/>
            <w:r w:rsidRPr="00650FD4">
              <w:rPr>
                <w:color w:val="231F20"/>
                <w:sz w:val="18"/>
                <w:lang w:val="pl-PL"/>
              </w:rPr>
              <w:t xml:space="preserve"> by Generali Powszechne Towarzystwo Emerytalne S.A.**</w:t>
            </w:r>
          </w:p>
        </w:tc>
        <w:tc>
          <w:tcPr>
            <w:tcW w:w="1506" w:type="dxa"/>
          </w:tcPr>
          <w:p w14:paraId="35F583F7" w14:textId="77777777" w:rsidR="00E1198C" w:rsidRPr="00650FD4" w:rsidRDefault="00E1198C">
            <w:pPr>
              <w:pStyle w:val="TableParagraph"/>
              <w:spacing w:before="53"/>
              <w:rPr>
                <w:sz w:val="18"/>
                <w:lang w:val="pl-PL"/>
              </w:rPr>
            </w:pPr>
          </w:p>
          <w:p w14:paraId="26D47206" w14:textId="77777777" w:rsidR="00E1198C" w:rsidRDefault="00000000">
            <w:pPr>
              <w:pStyle w:val="TableParagraph"/>
              <w:ind w:left="69" w:right="62"/>
              <w:jc w:val="center"/>
              <w:rPr>
                <w:sz w:val="18"/>
              </w:rPr>
            </w:pPr>
            <w:r>
              <w:rPr>
                <w:color w:val="231F20"/>
                <w:sz w:val="18"/>
              </w:rPr>
              <w:t>4,083,585</w:t>
            </w:r>
          </w:p>
        </w:tc>
        <w:tc>
          <w:tcPr>
            <w:tcW w:w="1417" w:type="dxa"/>
          </w:tcPr>
          <w:p w14:paraId="3F271B1C" w14:textId="77777777" w:rsidR="00E1198C" w:rsidRDefault="00E1198C">
            <w:pPr>
              <w:pStyle w:val="TableParagraph"/>
              <w:spacing w:before="53"/>
              <w:rPr>
                <w:sz w:val="18"/>
              </w:rPr>
            </w:pPr>
          </w:p>
          <w:p w14:paraId="5A47CD39" w14:textId="77777777" w:rsidR="00E1198C" w:rsidRDefault="00000000">
            <w:pPr>
              <w:pStyle w:val="TableParagraph"/>
              <w:ind w:left="303"/>
              <w:jc w:val="center"/>
              <w:rPr>
                <w:sz w:val="18"/>
              </w:rPr>
            </w:pPr>
            <w:r>
              <w:rPr>
                <w:color w:val="231F20"/>
                <w:sz w:val="18"/>
              </w:rPr>
              <w:t>7.6%</w:t>
            </w:r>
          </w:p>
        </w:tc>
        <w:tc>
          <w:tcPr>
            <w:tcW w:w="1276" w:type="dxa"/>
          </w:tcPr>
          <w:p w14:paraId="0F98EB90" w14:textId="77777777" w:rsidR="00E1198C" w:rsidRDefault="00E1198C">
            <w:pPr>
              <w:pStyle w:val="TableParagraph"/>
              <w:spacing w:before="53"/>
              <w:rPr>
                <w:sz w:val="18"/>
              </w:rPr>
            </w:pPr>
          </w:p>
          <w:p w14:paraId="78919D58" w14:textId="77777777" w:rsidR="00E1198C" w:rsidRDefault="00000000" w:rsidP="00122FB9">
            <w:pPr>
              <w:pStyle w:val="TableParagraph"/>
              <w:ind w:right="139"/>
              <w:jc w:val="right"/>
              <w:rPr>
                <w:sz w:val="18"/>
              </w:rPr>
            </w:pPr>
            <w:r>
              <w:rPr>
                <w:color w:val="231F20"/>
                <w:sz w:val="18"/>
              </w:rPr>
              <w:t>4,083,585</w:t>
            </w:r>
          </w:p>
        </w:tc>
        <w:tc>
          <w:tcPr>
            <w:tcW w:w="1374" w:type="dxa"/>
          </w:tcPr>
          <w:p w14:paraId="054E355B" w14:textId="77777777" w:rsidR="00E1198C" w:rsidRDefault="00E1198C">
            <w:pPr>
              <w:pStyle w:val="TableParagraph"/>
              <w:spacing w:before="53"/>
              <w:rPr>
                <w:sz w:val="18"/>
              </w:rPr>
            </w:pPr>
          </w:p>
          <w:p w14:paraId="24618541" w14:textId="77777777" w:rsidR="00E1198C" w:rsidRDefault="00000000">
            <w:pPr>
              <w:pStyle w:val="TableParagraph"/>
              <w:ind w:right="49"/>
              <w:jc w:val="right"/>
              <w:rPr>
                <w:sz w:val="18"/>
              </w:rPr>
            </w:pPr>
            <w:r>
              <w:rPr>
                <w:color w:val="231F20"/>
                <w:sz w:val="18"/>
              </w:rPr>
              <w:t>5.9%</w:t>
            </w:r>
          </w:p>
        </w:tc>
      </w:tr>
      <w:tr w:rsidR="00E1198C" w14:paraId="0C8A7B73" w14:textId="77777777" w:rsidTr="009903A1">
        <w:trPr>
          <w:trHeight w:val="346"/>
        </w:trPr>
        <w:tc>
          <w:tcPr>
            <w:tcW w:w="4695" w:type="dxa"/>
          </w:tcPr>
          <w:p w14:paraId="146EBF1F" w14:textId="77777777" w:rsidR="00E1198C" w:rsidRDefault="00000000">
            <w:pPr>
              <w:pStyle w:val="TableParagraph"/>
              <w:spacing w:before="59"/>
              <w:ind w:left="50"/>
              <w:rPr>
                <w:sz w:val="18"/>
              </w:rPr>
            </w:pPr>
            <w:r>
              <w:rPr>
                <w:color w:val="231F20"/>
                <w:sz w:val="18"/>
              </w:rPr>
              <w:t>Other shareholders***</w:t>
            </w:r>
          </w:p>
        </w:tc>
        <w:tc>
          <w:tcPr>
            <w:tcW w:w="1506" w:type="dxa"/>
          </w:tcPr>
          <w:p w14:paraId="77A6C7CC" w14:textId="77777777" w:rsidR="00E1198C" w:rsidRDefault="00000000">
            <w:pPr>
              <w:pStyle w:val="TableParagraph"/>
              <w:spacing w:before="59"/>
              <w:ind w:left="7" w:right="69"/>
              <w:jc w:val="center"/>
              <w:rPr>
                <w:sz w:val="18"/>
              </w:rPr>
            </w:pPr>
            <w:r>
              <w:rPr>
                <w:color w:val="231F20"/>
                <w:sz w:val="18"/>
              </w:rPr>
              <w:t>19,745,384</w:t>
            </w:r>
          </w:p>
        </w:tc>
        <w:tc>
          <w:tcPr>
            <w:tcW w:w="1417" w:type="dxa"/>
          </w:tcPr>
          <w:p w14:paraId="544BDE82" w14:textId="77777777" w:rsidR="00E1198C" w:rsidRDefault="00000000">
            <w:pPr>
              <w:pStyle w:val="TableParagraph"/>
              <w:spacing w:before="59"/>
              <w:ind w:left="303" w:right="66"/>
              <w:jc w:val="center"/>
              <w:rPr>
                <w:sz w:val="18"/>
              </w:rPr>
            </w:pPr>
            <w:r>
              <w:rPr>
                <w:color w:val="231F20"/>
                <w:sz w:val="18"/>
              </w:rPr>
              <w:t>36.7%</w:t>
            </w:r>
          </w:p>
        </w:tc>
        <w:tc>
          <w:tcPr>
            <w:tcW w:w="1276" w:type="dxa"/>
          </w:tcPr>
          <w:p w14:paraId="7DA415BD" w14:textId="77777777" w:rsidR="00E1198C" w:rsidRDefault="00000000" w:rsidP="00122FB9">
            <w:pPr>
              <w:pStyle w:val="TableParagraph"/>
              <w:spacing w:before="59"/>
              <w:ind w:right="139"/>
              <w:jc w:val="right"/>
              <w:rPr>
                <w:sz w:val="18"/>
              </w:rPr>
            </w:pPr>
            <w:r>
              <w:rPr>
                <w:color w:val="231F20"/>
                <w:sz w:val="18"/>
              </w:rPr>
              <w:t>19,745,384</w:t>
            </w:r>
          </w:p>
        </w:tc>
        <w:tc>
          <w:tcPr>
            <w:tcW w:w="1374" w:type="dxa"/>
          </w:tcPr>
          <w:p w14:paraId="1AE2DECF" w14:textId="77777777" w:rsidR="00E1198C" w:rsidRDefault="00000000">
            <w:pPr>
              <w:pStyle w:val="TableParagraph"/>
              <w:spacing w:before="59"/>
              <w:ind w:right="47"/>
              <w:jc w:val="right"/>
              <w:rPr>
                <w:sz w:val="18"/>
              </w:rPr>
            </w:pPr>
            <w:r>
              <w:rPr>
                <w:color w:val="231F20"/>
                <w:sz w:val="18"/>
              </w:rPr>
              <w:t>28.7%</w:t>
            </w:r>
          </w:p>
        </w:tc>
      </w:tr>
      <w:tr w:rsidR="00E1198C" w14:paraId="7D441273" w14:textId="77777777" w:rsidTr="009903A1">
        <w:trPr>
          <w:trHeight w:val="264"/>
        </w:trPr>
        <w:tc>
          <w:tcPr>
            <w:tcW w:w="4695" w:type="dxa"/>
          </w:tcPr>
          <w:p w14:paraId="37AEB2DC" w14:textId="77777777" w:rsidR="00E1198C" w:rsidRDefault="00000000">
            <w:pPr>
              <w:pStyle w:val="TableParagraph"/>
              <w:spacing w:before="61" w:line="183" w:lineRule="exact"/>
              <w:ind w:left="50"/>
              <w:rPr>
                <w:sz w:val="18"/>
              </w:rPr>
            </w:pPr>
            <w:r>
              <w:rPr>
                <w:color w:val="231F20"/>
                <w:sz w:val="18"/>
              </w:rPr>
              <w:t>Total</w:t>
            </w:r>
          </w:p>
        </w:tc>
        <w:tc>
          <w:tcPr>
            <w:tcW w:w="1506" w:type="dxa"/>
          </w:tcPr>
          <w:p w14:paraId="441071B8" w14:textId="77777777" w:rsidR="00E1198C" w:rsidRDefault="00000000">
            <w:pPr>
              <w:pStyle w:val="TableParagraph"/>
              <w:spacing w:before="61" w:line="183" w:lineRule="exact"/>
              <w:ind w:left="7" w:right="69"/>
              <w:jc w:val="center"/>
              <w:rPr>
                <w:sz w:val="18"/>
              </w:rPr>
            </w:pPr>
            <w:r>
              <w:rPr>
                <w:color w:val="231F20"/>
                <w:sz w:val="18"/>
              </w:rPr>
              <w:t>53,856,500</w:t>
            </w:r>
          </w:p>
        </w:tc>
        <w:tc>
          <w:tcPr>
            <w:tcW w:w="1417" w:type="dxa"/>
          </w:tcPr>
          <w:p w14:paraId="45E78AD7" w14:textId="77777777" w:rsidR="00E1198C" w:rsidRDefault="00000000">
            <w:pPr>
              <w:pStyle w:val="TableParagraph"/>
              <w:spacing w:before="61" w:line="183" w:lineRule="exact"/>
              <w:ind w:left="303" w:right="177"/>
              <w:jc w:val="center"/>
              <w:rPr>
                <w:sz w:val="18"/>
              </w:rPr>
            </w:pPr>
            <w:r>
              <w:rPr>
                <w:color w:val="231F20"/>
                <w:sz w:val="18"/>
              </w:rPr>
              <w:t>100.0%</w:t>
            </w:r>
          </w:p>
        </w:tc>
        <w:tc>
          <w:tcPr>
            <w:tcW w:w="1276" w:type="dxa"/>
          </w:tcPr>
          <w:p w14:paraId="5EC642A1" w14:textId="77777777" w:rsidR="00E1198C" w:rsidRDefault="00000000" w:rsidP="00122FB9">
            <w:pPr>
              <w:pStyle w:val="TableParagraph"/>
              <w:spacing w:before="61" w:line="183" w:lineRule="exact"/>
              <w:ind w:right="139"/>
              <w:jc w:val="right"/>
              <w:rPr>
                <w:sz w:val="18"/>
              </w:rPr>
            </w:pPr>
            <w:r>
              <w:rPr>
                <w:color w:val="231F20"/>
                <w:sz w:val="18"/>
              </w:rPr>
              <w:t>68,856,500</w:t>
            </w:r>
          </w:p>
        </w:tc>
        <w:tc>
          <w:tcPr>
            <w:tcW w:w="1374" w:type="dxa"/>
          </w:tcPr>
          <w:p w14:paraId="76F7033C" w14:textId="77777777" w:rsidR="00E1198C" w:rsidRDefault="00000000">
            <w:pPr>
              <w:pStyle w:val="TableParagraph"/>
              <w:spacing w:before="61" w:line="183" w:lineRule="exact"/>
              <w:ind w:right="57"/>
              <w:jc w:val="right"/>
              <w:rPr>
                <w:sz w:val="18"/>
              </w:rPr>
            </w:pPr>
            <w:r>
              <w:rPr>
                <w:color w:val="231F20"/>
                <w:sz w:val="18"/>
              </w:rPr>
              <w:t>100.0%</w:t>
            </w:r>
          </w:p>
        </w:tc>
      </w:tr>
    </w:tbl>
    <w:p w14:paraId="3784B725" w14:textId="77777777" w:rsidR="00E1198C" w:rsidRDefault="00000000">
      <w:pPr>
        <w:pStyle w:val="Tekstpodstawowy"/>
        <w:spacing w:before="148"/>
        <w:ind w:left="510"/>
        <w:jc w:val="both"/>
      </w:pPr>
      <w:r>
        <w:rPr>
          <w:color w:val="231F20"/>
        </w:rPr>
        <w:t>* Glatton sp. z o.o. holds 15,000,000 registered shares privileged as to voting</w:t>
      </w:r>
    </w:p>
    <w:p w14:paraId="7972D989" w14:textId="2ED173B1" w:rsidR="00E1198C" w:rsidRDefault="00000000">
      <w:pPr>
        <w:pStyle w:val="Tekstpodstawowy"/>
        <w:spacing w:before="152" w:line="283" w:lineRule="auto"/>
        <w:ind w:left="510" w:right="486"/>
        <w:jc w:val="both"/>
      </w:pPr>
      <w:r>
        <w:rPr>
          <w:color w:val="231F20"/>
        </w:rPr>
        <w:t>** Including Generali OFE which holds 4,032,424 Company shares, which constitutes 7.5 % of its share capital and gives the right to 4,032,424 votes at its general meeting of shareholders, i.e. to 5.9 % of the total number of votes in the Company.</w:t>
      </w:r>
    </w:p>
    <w:p w14:paraId="46104778" w14:textId="77777777" w:rsidR="00E1198C" w:rsidRDefault="00000000">
      <w:pPr>
        <w:pStyle w:val="Tekstpodstawowy"/>
        <w:spacing w:before="111" w:line="276" w:lineRule="auto"/>
        <w:ind w:left="510" w:right="478"/>
        <w:jc w:val="both"/>
      </w:pPr>
      <w:r>
        <w:rPr>
          <w:color w:val="231F20"/>
        </w:rPr>
        <w:t>*** including Tang Capital Partners, LP after subscribing to E-series shares (current report 15/2024) and after their registration in the National Court Register on August 6, 2024 (current report no. 18/2024) held 2,700,000 shares of the Company, which constitutes 5.0% of its share capital and entitles their holder to exercise 2,700,000 votes at its general meeting, i.e., 3.9% of the total number of votes in the Company.</w:t>
      </w:r>
    </w:p>
    <w:p w14:paraId="7992933E" w14:textId="345018FB" w:rsidR="00E1198C" w:rsidRDefault="00000000">
      <w:pPr>
        <w:pStyle w:val="Tekstpodstawowy"/>
        <w:spacing w:before="120"/>
        <w:ind w:left="510"/>
        <w:jc w:val="both"/>
      </w:pPr>
      <w:r>
        <w:rPr>
          <w:color w:val="F07D00"/>
        </w:rPr>
        <w:t>Notifications of changes in the shareholding in the Company by significant shareholders received in 2024</w:t>
      </w:r>
    </w:p>
    <w:p w14:paraId="0727AAC3" w14:textId="77777777" w:rsidR="00E1198C" w:rsidRDefault="00000000">
      <w:pPr>
        <w:pStyle w:val="Tekstpodstawowy"/>
        <w:spacing w:before="152" w:line="276" w:lineRule="auto"/>
        <w:ind w:left="510" w:right="473"/>
        <w:jc w:val="both"/>
      </w:pPr>
      <w:r>
        <w:rPr>
          <w:color w:val="231F20"/>
        </w:rPr>
        <w:t>On August 12, 2024, the Company received a notification from Mr. Maciej Wieczorek – President of the Company's Management Board, submitted pursuant to Article 69 of the Act of July 29, 2005 on public offering and conditions for introducing financial instruments to organized trading and on public companies, in connection with the registration on August 6, 2024 by the District Court for the Capital City of Warsaw in Warsaw, 14th Commercial Division of the National Court Register, of the increase of the Company's share capital by PLN 270,000 to PLN 5,375,650 through the issuance of 2,700,000 ordinary E-series bearer shares with a nominal value of PLN 0.10 each, conducted pursuant to resolution no. 18 of the Ordinary General Meeting of the Company dated June 21, 2024. As a result of the registration of the increase in the Company's share capital, Maciej Wieczorek's share (indirectly through Glatton Sp. z o.o., in which Maciej Wieczorek holds 100% of shares) decreased by more than 1% of the total number of votes in the Company.</w:t>
      </w:r>
    </w:p>
    <w:p w14:paraId="17CEAA6C" w14:textId="77777777" w:rsidR="00E1198C" w:rsidRDefault="00000000">
      <w:pPr>
        <w:pStyle w:val="Tekstpodstawowy"/>
        <w:spacing w:before="128"/>
        <w:ind w:left="510"/>
        <w:jc w:val="both"/>
      </w:pPr>
      <w:r>
        <w:rPr>
          <w:color w:val="F07D00"/>
        </w:rPr>
        <w:t>Own shares</w:t>
      </w:r>
    </w:p>
    <w:p w14:paraId="6E6CB1D2" w14:textId="77777777" w:rsidR="00E1198C" w:rsidRDefault="00000000">
      <w:pPr>
        <w:pStyle w:val="Tekstpodstawowy"/>
        <w:spacing w:before="151" w:line="271" w:lineRule="auto"/>
        <w:ind w:left="510"/>
      </w:pPr>
      <w:r>
        <w:rPr>
          <w:color w:val="231F20"/>
        </w:rPr>
        <w:t>The Company does not own and did not own or acquire own shares in 2024 and did not undertake any activities aimed at acquiring own shares during that period.</w:t>
      </w:r>
    </w:p>
    <w:p w14:paraId="5AEEB528" w14:textId="739AC510" w:rsidR="00E1198C" w:rsidRDefault="00000000">
      <w:pPr>
        <w:pStyle w:val="Tekstpodstawowy"/>
        <w:spacing w:before="123" w:line="405" w:lineRule="auto"/>
        <w:ind w:left="510" w:right="4898"/>
      </w:pPr>
      <w:r>
        <w:rPr>
          <w:color w:val="F07D00"/>
        </w:rPr>
        <w:t>Agreements which may result in changes in the shareholding structure</w:t>
      </w:r>
      <w:r w:rsidR="00122FB9">
        <w:rPr>
          <w:color w:val="F07D00"/>
        </w:rPr>
        <w:br/>
      </w:r>
      <w:r>
        <w:rPr>
          <w:color w:val="231F20"/>
        </w:rPr>
        <w:t>The Company is not aware of agreements of this type.</w:t>
      </w:r>
    </w:p>
    <w:p w14:paraId="12A8A0B7" w14:textId="77777777" w:rsidR="00E1198C" w:rsidRDefault="00E1198C">
      <w:pPr>
        <w:spacing w:line="405" w:lineRule="auto"/>
        <w:sectPr w:rsidR="00E1198C">
          <w:type w:val="continuous"/>
          <w:pgSz w:w="11900" w:h="16840"/>
          <w:pgMar w:top="1380" w:right="320" w:bottom="0" w:left="300" w:header="0" w:footer="726" w:gutter="0"/>
          <w:cols w:space="708"/>
        </w:sectPr>
      </w:pPr>
    </w:p>
    <w:p w14:paraId="6A2A5682" w14:textId="77777777" w:rsidR="00E1198C" w:rsidRDefault="00000000">
      <w:pPr>
        <w:pStyle w:val="Akapitzlist"/>
        <w:numPr>
          <w:ilvl w:val="1"/>
          <w:numId w:val="43"/>
        </w:numPr>
        <w:tabs>
          <w:tab w:val="left" w:pos="1088"/>
        </w:tabs>
        <w:spacing w:before="61"/>
        <w:ind w:hanging="578"/>
        <w:rPr>
          <w:sz w:val="18"/>
        </w:rPr>
      </w:pPr>
      <w:r>
        <w:rPr>
          <w:color w:val="F07D00"/>
          <w:sz w:val="18"/>
        </w:rPr>
        <w:lastRenderedPageBreak/>
        <w:t>Ownership of the Company’s shares by members of the Company’s bodies</w:t>
      </w:r>
    </w:p>
    <w:p w14:paraId="7545A4BF" w14:textId="77777777" w:rsidR="00E1198C" w:rsidRDefault="00E1198C">
      <w:pPr>
        <w:pStyle w:val="Tekstpodstawowy"/>
        <w:spacing w:before="134"/>
      </w:pPr>
    </w:p>
    <w:p w14:paraId="0BCE2655" w14:textId="77777777" w:rsidR="00E1198C" w:rsidRDefault="00000000">
      <w:pPr>
        <w:pStyle w:val="Tekstpodstawowy"/>
        <w:spacing w:before="1" w:line="271" w:lineRule="auto"/>
        <w:ind w:left="510"/>
      </w:pPr>
      <w:r>
        <w:t>As at December 31, 2024 and as at the date of publication of this report, the holding of Company’s shares by the members of its governing bodies is as follows:</w:t>
      </w:r>
    </w:p>
    <w:p w14:paraId="7EA13090" w14:textId="77777777" w:rsidR="00E1198C" w:rsidRDefault="00E1198C">
      <w:pPr>
        <w:pStyle w:val="Tekstpodstawowy"/>
        <w:spacing w:before="231"/>
        <w:rPr>
          <w:sz w:val="20"/>
        </w:rPr>
      </w:pPr>
    </w:p>
    <w:tbl>
      <w:tblPr>
        <w:tblStyle w:val="TableNormal"/>
        <w:tblW w:w="0" w:type="auto"/>
        <w:tblInd w:w="501" w:type="dxa"/>
        <w:tblLayout w:type="fixed"/>
        <w:tblLook w:val="01E0" w:firstRow="1" w:lastRow="1" w:firstColumn="1" w:lastColumn="1" w:noHBand="0" w:noVBand="0"/>
      </w:tblPr>
      <w:tblGrid>
        <w:gridCol w:w="4260"/>
        <w:gridCol w:w="4336"/>
        <w:gridCol w:w="1589"/>
      </w:tblGrid>
      <w:tr w:rsidR="00E1198C" w14:paraId="4419F909" w14:textId="77777777">
        <w:trPr>
          <w:trHeight w:val="517"/>
        </w:trPr>
        <w:tc>
          <w:tcPr>
            <w:tcW w:w="4260" w:type="dxa"/>
          </w:tcPr>
          <w:p w14:paraId="7C600CDE" w14:textId="77777777" w:rsidR="00E1198C" w:rsidRDefault="00000000">
            <w:pPr>
              <w:pStyle w:val="TableParagraph"/>
              <w:spacing w:before="196"/>
              <w:ind w:left="50"/>
              <w:rPr>
                <w:sz w:val="18"/>
              </w:rPr>
            </w:pPr>
            <w:r>
              <w:rPr>
                <w:color w:val="231F20"/>
                <w:sz w:val="18"/>
              </w:rPr>
              <w:t>Management Board</w:t>
            </w:r>
          </w:p>
        </w:tc>
        <w:tc>
          <w:tcPr>
            <w:tcW w:w="4336" w:type="dxa"/>
          </w:tcPr>
          <w:p w14:paraId="0BDAA174" w14:textId="77777777" w:rsidR="00E1198C" w:rsidRDefault="00E1198C">
            <w:pPr>
              <w:pStyle w:val="TableParagraph"/>
              <w:rPr>
                <w:rFonts w:ascii="Times New Roman"/>
                <w:sz w:val="18"/>
              </w:rPr>
            </w:pPr>
          </w:p>
        </w:tc>
        <w:tc>
          <w:tcPr>
            <w:tcW w:w="1589" w:type="dxa"/>
          </w:tcPr>
          <w:p w14:paraId="5D709BE8" w14:textId="77777777" w:rsidR="00E1198C" w:rsidRDefault="00E1198C">
            <w:pPr>
              <w:pStyle w:val="TableParagraph"/>
              <w:rPr>
                <w:rFonts w:ascii="Times New Roman"/>
                <w:sz w:val="18"/>
              </w:rPr>
            </w:pPr>
          </w:p>
        </w:tc>
      </w:tr>
      <w:tr w:rsidR="00E1198C" w14:paraId="612C21C0" w14:textId="77777777">
        <w:trPr>
          <w:trHeight w:val="401"/>
        </w:trPr>
        <w:tc>
          <w:tcPr>
            <w:tcW w:w="4260" w:type="dxa"/>
          </w:tcPr>
          <w:p w14:paraId="33739B5F" w14:textId="77777777" w:rsidR="00E1198C" w:rsidRDefault="00000000">
            <w:pPr>
              <w:pStyle w:val="TableParagraph"/>
              <w:spacing w:before="95"/>
              <w:ind w:left="50"/>
              <w:rPr>
                <w:sz w:val="18"/>
              </w:rPr>
            </w:pPr>
            <w:r>
              <w:rPr>
                <w:color w:val="231F20"/>
                <w:sz w:val="18"/>
              </w:rPr>
              <w:t>Maciej Wieczorek*</w:t>
            </w:r>
          </w:p>
        </w:tc>
        <w:tc>
          <w:tcPr>
            <w:tcW w:w="4336" w:type="dxa"/>
          </w:tcPr>
          <w:p w14:paraId="751C61D4" w14:textId="77777777" w:rsidR="00E1198C" w:rsidRDefault="00000000">
            <w:pPr>
              <w:pStyle w:val="TableParagraph"/>
              <w:spacing w:before="95"/>
              <w:ind w:right="466"/>
              <w:jc w:val="right"/>
              <w:rPr>
                <w:sz w:val="18"/>
              </w:rPr>
            </w:pPr>
            <w:r>
              <w:rPr>
                <w:color w:val="231F20"/>
                <w:sz w:val="18"/>
              </w:rPr>
              <w:t>30,027,531</w:t>
            </w:r>
          </w:p>
        </w:tc>
        <w:tc>
          <w:tcPr>
            <w:tcW w:w="1589" w:type="dxa"/>
          </w:tcPr>
          <w:p w14:paraId="5CE1E572" w14:textId="77777777" w:rsidR="00E1198C" w:rsidRDefault="00000000">
            <w:pPr>
              <w:pStyle w:val="TableParagraph"/>
              <w:spacing w:before="95"/>
              <w:ind w:right="50"/>
              <w:jc w:val="right"/>
              <w:rPr>
                <w:sz w:val="18"/>
              </w:rPr>
            </w:pPr>
            <w:r>
              <w:rPr>
                <w:color w:val="231F20"/>
                <w:sz w:val="18"/>
              </w:rPr>
              <w:t>3,002,753.1</w:t>
            </w:r>
          </w:p>
        </w:tc>
      </w:tr>
      <w:tr w:rsidR="00E1198C" w14:paraId="7B887E03" w14:textId="77777777">
        <w:trPr>
          <w:trHeight w:val="436"/>
        </w:trPr>
        <w:tc>
          <w:tcPr>
            <w:tcW w:w="4260" w:type="dxa"/>
          </w:tcPr>
          <w:p w14:paraId="7517ACB2" w14:textId="77777777" w:rsidR="00E1198C" w:rsidRDefault="00000000">
            <w:pPr>
              <w:pStyle w:val="TableParagraph"/>
              <w:spacing w:before="110"/>
              <w:ind w:left="50"/>
              <w:rPr>
                <w:sz w:val="18"/>
              </w:rPr>
            </w:pPr>
            <w:r>
              <w:rPr>
                <w:color w:val="231F20"/>
                <w:sz w:val="18"/>
              </w:rPr>
              <w:t>Bartosz Szałek</w:t>
            </w:r>
          </w:p>
        </w:tc>
        <w:tc>
          <w:tcPr>
            <w:tcW w:w="4336" w:type="dxa"/>
          </w:tcPr>
          <w:p w14:paraId="284922B9" w14:textId="77777777" w:rsidR="00E1198C" w:rsidRDefault="00000000">
            <w:pPr>
              <w:pStyle w:val="TableParagraph"/>
              <w:spacing w:before="110"/>
              <w:ind w:right="467"/>
              <w:jc w:val="right"/>
              <w:rPr>
                <w:sz w:val="18"/>
              </w:rPr>
            </w:pPr>
            <w:r>
              <w:rPr>
                <w:color w:val="231F20"/>
                <w:sz w:val="18"/>
              </w:rPr>
              <w:t>0</w:t>
            </w:r>
          </w:p>
        </w:tc>
        <w:tc>
          <w:tcPr>
            <w:tcW w:w="1589" w:type="dxa"/>
          </w:tcPr>
          <w:p w14:paraId="18C5E901" w14:textId="77777777" w:rsidR="00E1198C" w:rsidRDefault="00000000">
            <w:pPr>
              <w:pStyle w:val="TableParagraph"/>
              <w:spacing w:before="76"/>
              <w:ind w:right="48"/>
              <w:jc w:val="right"/>
              <w:rPr>
                <w:sz w:val="18"/>
              </w:rPr>
            </w:pPr>
            <w:r>
              <w:rPr>
                <w:color w:val="231F20"/>
                <w:sz w:val="18"/>
              </w:rPr>
              <w:t>0</w:t>
            </w:r>
          </w:p>
        </w:tc>
      </w:tr>
      <w:tr w:rsidR="00E1198C" w14:paraId="7989860E" w14:textId="77777777">
        <w:trPr>
          <w:trHeight w:val="427"/>
        </w:trPr>
        <w:tc>
          <w:tcPr>
            <w:tcW w:w="4260" w:type="dxa"/>
          </w:tcPr>
          <w:p w14:paraId="3E573133" w14:textId="77777777" w:rsidR="00E1198C" w:rsidRDefault="00000000">
            <w:pPr>
              <w:pStyle w:val="TableParagraph"/>
              <w:spacing w:before="100"/>
              <w:ind w:left="50"/>
              <w:rPr>
                <w:sz w:val="18"/>
              </w:rPr>
            </w:pPr>
            <w:r>
              <w:rPr>
                <w:color w:val="231F20"/>
                <w:sz w:val="18"/>
              </w:rPr>
              <w:t>Małgorzata Stokrocka</w:t>
            </w:r>
          </w:p>
        </w:tc>
        <w:tc>
          <w:tcPr>
            <w:tcW w:w="4336" w:type="dxa"/>
          </w:tcPr>
          <w:p w14:paraId="320751F6" w14:textId="77777777" w:rsidR="00E1198C" w:rsidRDefault="00000000">
            <w:pPr>
              <w:pStyle w:val="TableParagraph"/>
              <w:spacing w:before="100"/>
              <w:ind w:right="472"/>
              <w:jc w:val="right"/>
              <w:rPr>
                <w:sz w:val="18"/>
              </w:rPr>
            </w:pPr>
            <w:r>
              <w:rPr>
                <w:color w:val="231F20"/>
                <w:sz w:val="18"/>
              </w:rPr>
              <w:t>0</w:t>
            </w:r>
          </w:p>
        </w:tc>
        <w:tc>
          <w:tcPr>
            <w:tcW w:w="1589" w:type="dxa"/>
          </w:tcPr>
          <w:p w14:paraId="5DE01B70" w14:textId="77777777" w:rsidR="00E1198C" w:rsidRDefault="00000000">
            <w:pPr>
              <w:pStyle w:val="TableParagraph"/>
              <w:spacing w:before="100"/>
              <w:ind w:right="56"/>
              <w:jc w:val="right"/>
              <w:rPr>
                <w:sz w:val="18"/>
              </w:rPr>
            </w:pPr>
            <w:r>
              <w:rPr>
                <w:color w:val="231F20"/>
                <w:sz w:val="18"/>
              </w:rPr>
              <w:t>0</w:t>
            </w:r>
          </w:p>
        </w:tc>
      </w:tr>
      <w:tr w:rsidR="00E1198C" w14:paraId="5ABDD204" w14:textId="77777777">
        <w:trPr>
          <w:trHeight w:val="422"/>
        </w:trPr>
        <w:tc>
          <w:tcPr>
            <w:tcW w:w="4260" w:type="dxa"/>
          </w:tcPr>
          <w:p w14:paraId="2BE8B648" w14:textId="77777777" w:rsidR="00E1198C" w:rsidRDefault="00000000">
            <w:pPr>
              <w:pStyle w:val="TableParagraph"/>
              <w:spacing w:before="100"/>
              <w:ind w:left="50"/>
              <w:rPr>
                <w:sz w:val="18"/>
              </w:rPr>
            </w:pPr>
            <w:r>
              <w:rPr>
                <w:color w:val="231F20"/>
                <w:sz w:val="18"/>
              </w:rPr>
              <w:t>Supervisory Board</w:t>
            </w:r>
          </w:p>
        </w:tc>
        <w:tc>
          <w:tcPr>
            <w:tcW w:w="4336" w:type="dxa"/>
          </w:tcPr>
          <w:p w14:paraId="19A5B0EA" w14:textId="77777777" w:rsidR="00E1198C" w:rsidRDefault="00E1198C">
            <w:pPr>
              <w:pStyle w:val="TableParagraph"/>
              <w:rPr>
                <w:rFonts w:ascii="Times New Roman"/>
                <w:sz w:val="18"/>
              </w:rPr>
            </w:pPr>
          </w:p>
        </w:tc>
        <w:tc>
          <w:tcPr>
            <w:tcW w:w="1589" w:type="dxa"/>
          </w:tcPr>
          <w:p w14:paraId="0480C2CC" w14:textId="77777777" w:rsidR="00E1198C" w:rsidRDefault="00E1198C">
            <w:pPr>
              <w:pStyle w:val="TableParagraph"/>
              <w:rPr>
                <w:rFonts w:ascii="Times New Roman"/>
                <w:sz w:val="18"/>
              </w:rPr>
            </w:pPr>
          </w:p>
        </w:tc>
      </w:tr>
      <w:tr w:rsidR="00E1198C" w14:paraId="39A206EF" w14:textId="77777777">
        <w:trPr>
          <w:trHeight w:val="416"/>
        </w:trPr>
        <w:tc>
          <w:tcPr>
            <w:tcW w:w="4260" w:type="dxa"/>
          </w:tcPr>
          <w:p w14:paraId="3F2ECF5A" w14:textId="77777777" w:rsidR="00E1198C" w:rsidRDefault="00000000">
            <w:pPr>
              <w:pStyle w:val="TableParagraph"/>
              <w:spacing w:before="95"/>
              <w:ind w:left="50"/>
              <w:rPr>
                <w:sz w:val="18"/>
              </w:rPr>
            </w:pPr>
            <w:r>
              <w:rPr>
                <w:color w:val="231F20"/>
                <w:sz w:val="18"/>
              </w:rPr>
              <w:t>Robert Rzemiński</w:t>
            </w:r>
          </w:p>
        </w:tc>
        <w:tc>
          <w:tcPr>
            <w:tcW w:w="4336" w:type="dxa"/>
          </w:tcPr>
          <w:p w14:paraId="01D578C1" w14:textId="77777777" w:rsidR="00E1198C" w:rsidRDefault="00000000">
            <w:pPr>
              <w:pStyle w:val="TableParagraph"/>
              <w:spacing w:before="95"/>
              <w:ind w:right="472"/>
              <w:jc w:val="right"/>
              <w:rPr>
                <w:sz w:val="18"/>
              </w:rPr>
            </w:pPr>
            <w:r>
              <w:rPr>
                <w:color w:val="231F20"/>
                <w:sz w:val="18"/>
              </w:rPr>
              <w:t>0</w:t>
            </w:r>
          </w:p>
        </w:tc>
        <w:tc>
          <w:tcPr>
            <w:tcW w:w="1589" w:type="dxa"/>
          </w:tcPr>
          <w:p w14:paraId="75863B68" w14:textId="77777777" w:rsidR="00E1198C" w:rsidRDefault="00000000">
            <w:pPr>
              <w:pStyle w:val="TableParagraph"/>
              <w:spacing w:before="95"/>
              <w:ind w:right="57"/>
              <w:jc w:val="right"/>
              <w:rPr>
                <w:sz w:val="18"/>
              </w:rPr>
            </w:pPr>
            <w:r>
              <w:rPr>
                <w:color w:val="231F20"/>
                <w:sz w:val="18"/>
              </w:rPr>
              <w:t>0</w:t>
            </w:r>
          </w:p>
        </w:tc>
      </w:tr>
      <w:tr w:rsidR="00E1198C" w14:paraId="3BF5D247" w14:textId="77777777">
        <w:trPr>
          <w:trHeight w:val="422"/>
        </w:trPr>
        <w:tc>
          <w:tcPr>
            <w:tcW w:w="4260" w:type="dxa"/>
          </w:tcPr>
          <w:p w14:paraId="17F0DCDD" w14:textId="77777777" w:rsidR="00E1198C" w:rsidRDefault="00000000">
            <w:pPr>
              <w:pStyle w:val="TableParagraph"/>
              <w:spacing w:before="95"/>
              <w:ind w:left="50"/>
              <w:rPr>
                <w:sz w:val="18"/>
              </w:rPr>
            </w:pPr>
            <w:r>
              <w:rPr>
                <w:color w:val="231F20"/>
                <w:sz w:val="18"/>
              </w:rPr>
              <w:t>Krzysztof Kaczmarczyk</w:t>
            </w:r>
          </w:p>
        </w:tc>
        <w:tc>
          <w:tcPr>
            <w:tcW w:w="4336" w:type="dxa"/>
          </w:tcPr>
          <w:p w14:paraId="0E55BC31" w14:textId="77777777" w:rsidR="00E1198C" w:rsidRDefault="00000000">
            <w:pPr>
              <w:pStyle w:val="TableParagraph"/>
              <w:spacing w:before="95"/>
              <w:ind w:right="467"/>
              <w:jc w:val="right"/>
              <w:rPr>
                <w:sz w:val="18"/>
              </w:rPr>
            </w:pPr>
            <w:r>
              <w:rPr>
                <w:color w:val="231F20"/>
                <w:sz w:val="18"/>
              </w:rPr>
              <w:t>0</w:t>
            </w:r>
          </w:p>
        </w:tc>
        <w:tc>
          <w:tcPr>
            <w:tcW w:w="1589" w:type="dxa"/>
          </w:tcPr>
          <w:p w14:paraId="0A21563B" w14:textId="77777777" w:rsidR="00E1198C" w:rsidRDefault="00000000">
            <w:pPr>
              <w:pStyle w:val="TableParagraph"/>
              <w:spacing w:before="95"/>
              <w:ind w:right="52"/>
              <w:jc w:val="right"/>
              <w:rPr>
                <w:sz w:val="18"/>
              </w:rPr>
            </w:pPr>
            <w:r>
              <w:rPr>
                <w:color w:val="231F20"/>
                <w:sz w:val="18"/>
              </w:rPr>
              <w:t>0</w:t>
            </w:r>
          </w:p>
        </w:tc>
      </w:tr>
      <w:tr w:rsidR="00E1198C" w14:paraId="1DFC3D0C" w14:textId="77777777">
        <w:trPr>
          <w:trHeight w:val="427"/>
        </w:trPr>
        <w:tc>
          <w:tcPr>
            <w:tcW w:w="4260" w:type="dxa"/>
          </w:tcPr>
          <w:p w14:paraId="6090B426" w14:textId="77777777" w:rsidR="00E1198C" w:rsidRDefault="00000000">
            <w:pPr>
              <w:pStyle w:val="TableParagraph"/>
              <w:spacing w:before="100"/>
              <w:ind w:left="50"/>
              <w:rPr>
                <w:sz w:val="18"/>
              </w:rPr>
            </w:pPr>
            <w:r>
              <w:rPr>
                <w:color w:val="231F20"/>
                <w:sz w:val="18"/>
              </w:rPr>
              <w:t>Bogusław Galewski</w:t>
            </w:r>
          </w:p>
        </w:tc>
        <w:tc>
          <w:tcPr>
            <w:tcW w:w="4336" w:type="dxa"/>
          </w:tcPr>
          <w:p w14:paraId="2A5C0526" w14:textId="77777777" w:rsidR="00E1198C" w:rsidRDefault="00000000">
            <w:pPr>
              <w:pStyle w:val="TableParagraph"/>
              <w:spacing w:before="100"/>
              <w:ind w:right="466"/>
              <w:jc w:val="right"/>
              <w:rPr>
                <w:sz w:val="18"/>
              </w:rPr>
            </w:pPr>
            <w:r>
              <w:rPr>
                <w:color w:val="231F20"/>
                <w:sz w:val="18"/>
              </w:rPr>
              <w:t>0</w:t>
            </w:r>
          </w:p>
        </w:tc>
        <w:tc>
          <w:tcPr>
            <w:tcW w:w="1589" w:type="dxa"/>
          </w:tcPr>
          <w:p w14:paraId="273E5980" w14:textId="77777777" w:rsidR="00E1198C" w:rsidRDefault="00000000">
            <w:pPr>
              <w:pStyle w:val="TableParagraph"/>
              <w:spacing w:before="100"/>
              <w:ind w:right="51"/>
              <w:jc w:val="right"/>
              <w:rPr>
                <w:sz w:val="18"/>
              </w:rPr>
            </w:pPr>
            <w:r>
              <w:rPr>
                <w:color w:val="231F20"/>
                <w:sz w:val="18"/>
              </w:rPr>
              <w:t>0</w:t>
            </w:r>
          </w:p>
        </w:tc>
      </w:tr>
      <w:tr w:rsidR="00E1198C" w14:paraId="7A85AB6D" w14:textId="77777777">
        <w:trPr>
          <w:trHeight w:val="427"/>
        </w:trPr>
        <w:tc>
          <w:tcPr>
            <w:tcW w:w="4260" w:type="dxa"/>
          </w:tcPr>
          <w:p w14:paraId="70BEBC04" w14:textId="77777777" w:rsidR="00E1198C" w:rsidRDefault="00000000">
            <w:pPr>
              <w:pStyle w:val="TableParagraph"/>
              <w:spacing w:before="100"/>
              <w:ind w:left="50"/>
              <w:rPr>
                <w:sz w:val="18"/>
              </w:rPr>
            </w:pPr>
            <w:r>
              <w:rPr>
                <w:color w:val="231F20"/>
                <w:sz w:val="18"/>
              </w:rPr>
              <w:t>Urszula Wieczorek</w:t>
            </w:r>
          </w:p>
        </w:tc>
        <w:tc>
          <w:tcPr>
            <w:tcW w:w="4336" w:type="dxa"/>
          </w:tcPr>
          <w:p w14:paraId="603FCA4E" w14:textId="77777777" w:rsidR="00E1198C" w:rsidRDefault="00000000">
            <w:pPr>
              <w:pStyle w:val="TableParagraph"/>
              <w:spacing w:before="100"/>
              <w:ind w:right="473"/>
              <w:jc w:val="right"/>
              <w:rPr>
                <w:sz w:val="18"/>
              </w:rPr>
            </w:pPr>
            <w:r>
              <w:rPr>
                <w:color w:val="231F20"/>
                <w:sz w:val="18"/>
              </w:rPr>
              <w:t>0</w:t>
            </w:r>
          </w:p>
        </w:tc>
        <w:tc>
          <w:tcPr>
            <w:tcW w:w="1589" w:type="dxa"/>
          </w:tcPr>
          <w:p w14:paraId="0A40FF0F" w14:textId="77777777" w:rsidR="00E1198C" w:rsidRDefault="00000000">
            <w:pPr>
              <w:pStyle w:val="TableParagraph"/>
              <w:spacing w:before="100"/>
              <w:ind w:right="57"/>
              <w:jc w:val="right"/>
              <w:rPr>
                <w:sz w:val="18"/>
              </w:rPr>
            </w:pPr>
            <w:r>
              <w:rPr>
                <w:color w:val="231F20"/>
                <w:sz w:val="18"/>
              </w:rPr>
              <w:t>0</w:t>
            </w:r>
          </w:p>
        </w:tc>
      </w:tr>
      <w:tr w:rsidR="00E1198C" w14:paraId="2F70CCDA" w14:textId="77777777">
        <w:trPr>
          <w:trHeight w:val="308"/>
        </w:trPr>
        <w:tc>
          <w:tcPr>
            <w:tcW w:w="4260" w:type="dxa"/>
          </w:tcPr>
          <w:p w14:paraId="750E71A6" w14:textId="77777777" w:rsidR="00E1198C" w:rsidRDefault="00000000">
            <w:pPr>
              <w:pStyle w:val="TableParagraph"/>
              <w:spacing w:before="100" w:line="187" w:lineRule="exact"/>
              <w:ind w:left="50"/>
              <w:rPr>
                <w:sz w:val="18"/>
              </w:rPr>
            </w:pPr>
            <w:r>
              <w:rPr>
                <w:color w:val="231F20"/>
                <w:sz w:val="18"/>
              </w:rPr>
              <w:t>Artur Wieczorek</w:t>
            </w:r>
          </w:p>
        </w:tc>
        <w:tc>
          <w:tcPr>
            <w:tcW w:w="4336" w:type="dxa"/>
          </w:tcPr>
          <w:p w14:paraId="462AF3A7" w14:textId="77777777" w:rsidR="00E1198C" w:rsidRDefault="00000000">
            <w:pPr>
              <w:pStyle w:val="TableParagraph"/>
              <w:spacing w:before="100" w:line="187" w:lineRule="exact"/>
              <w:ind w:right="469"/>
              <w:jc w:val="right"/>
              <w:rPr>
                <w:sz w:val="18"/>
              </w:rPr>
            </w:pPr>
            <w:r>
              <w:rPr>
                <w:color w:val="231F20"/>
                <w:sz w:val="18"/>
              </w:rPr>
              <w:t>5,757</w:t>
            </w:r>
          </w:p>
        </w:tc>
        <w:tc>
          <w:tcPr>
            <w:tcW w:w="1589" w:type="dxa"/>
          </w:tcPr>
          <w:p w14:paraId="78D21B5E" w14:textId="77777777" w:rsidR="00E1198C" w:rsidRDefault="00000000">
            <w:pPr>
              <w:pStyle w:val="TableParagraph"/>
              <w:spacing w:before="100" w:line="187" w:lineRule="exact"/>
              <w:ind w:right="53"/>
              <w:jc w:val="right"/>
              <w:rPr>
                <w:sz w:val="18"/>
              </w:rPr>
            </w:pPr>
            <w:r>
              <w:rPr>
                <w:color w:val="231F20"/>
                <w:sz w:val="18"/>
              </w:rPr>
              <w:t>575.70</w:t>
            </w:r>
          </w:p>
        </w:tc>
      </w:tr>
    </w:tbl>
    <w:p w14:paraId="156F89A9" w14:textId="77777777" w:rsidR="00E1198C" w:rsidRDefault="00000000" w:rsidP="00122FB9">
      <w:pPr>
        <w:pStyle w:val="Tekstpodstawowy"/>
        <w:spacing w:before="191" w:line="276" w:lineRule="auto"/>
        <w:ind w:left="510" w:right="472"/>
        <w:jc w:val="both"/>
      </w:pPr>
      <w:r>
        <w:rPr>
          <w:color w:val="231F20"/>
        </w:rPr>
        <w:t>*Maciej Wieczorek holds shares in the Company indirectly through Glatton Sp. z o.o., including 15,000,000 registered shares privileged as to voting. Members of the Management Board and of the Supervisory Board do not have rights to the Company's shares.</w:t>
      </w:r>
    </w:p>
    <w:p w14:paraId="7300D04A" w14:textId="77777777" w:rsidR="00E1198C" w:rsidRDefault="00000000" w:rsidP="00122FB9">
      <w:pPr>
        <w:pStyle w:val="Tekstpodstawowy"/>
        <w:spacing w:line="283" w:lineRule="auto"/>
        <w:ind w:left="510" w:right="472"/>
        <w:jc w:val="both"/>
      </w:pPr>
      <w:r>
        <w:rPr>
          <w:color w:val="231F20"/>
        </w:rPr>
        <w:t>Changes in the status of holding rights to the Company's shares, and then in the status of Members of the Management Board owning shares in the Company may occur in the future as a result of implementing the Incentive Program for Members of the Management Board operating in the Company.</w:t>
      </w:r>
    </w:p>
    <w:p w14:paraId="0143940F" w14:textId="77777777" w:rsidR="00E1198C" w:rsidRDefault="00000000" w:rsidP="00122FB9">
      <w:pPr>
        <w:pStyle w:val="Tekstpodstawowy"/>
        <w:spacing w:before="190" w:line="283" w:lineRule="auto"/>
        <w:ind w:left="510" w:right="472"/>
        <w:jc w:val="both"/>
      </w:pPr>
      <w:r>
        <w:rPr>
          <w:color w:val="231F20"/>
        </w:rPr>
        <w:t>The Incentive Programs “for Members of the Management Board” and “for other persons of key importance to the Company” for the financial years 2021-2030 have been introduced in the Company by way of Resolution no. 6/2021 of the Extraordinary General Meeting dated February 16, 2021.</w:t>
      </w:r>
    </w:p>
    <w:p w14:paraId="1893A997" w14:textId="10862E0C" w:rsidR="00E1198C" w:rsidRDefault="00000000">
      <w:pPr>
        <w:pStyle w:val="Tekstpodstawowy"/>
        <w:spacing w:before="179" w:line="276" w:lineRule="auto"/>
        <w:ind w:left="510" w:right="475"/>
        <w:jc w:val="both"/>
      </w:pPr>
      <w:r>
        <w:rPr>
          <w:color w:val="231F20"/>
        </w:rPr>
        <w:t>As part of implementing the Incentive Programs, the eligible persons have the right to acquire A-series subscription warrants which give the right to acquire Company's C-series shares issued under a conditional share capital increase. Each Warrant entitles its holder to subscribe for 1 C-series share of the Company at the issue price of PLN 0.10 per share. The Warrants are issued on the basis of Resolution No. 7/2021 of the Extraordinary General Meeting of the Company of February 16, 2021, and their allocation is made on the basis of Resolution No. 6 adopted by the Extraordinary General Meeting of the Company of February 16, 2021 on the introduction of Incentive Programs for Members of the Management Board and other persons of key importance to the Company and on the basis of the Regulations of the Incentive Program for the Members of the Management Board for the years 2021-2030 in Celon Pharma S.A. (see current report no. 44/2021) Persons who are shareholders who directly or indirectly hold more than 33% of the votes in the Company and their family members do not have the right to acquire subscription warrants. Therefore, at the date of publication of this report, Mr. Bartosz Szałek is the only person from among the members of the Management Board meeting these conditions.</w:t>
      </w:r>
    </w:p>
    <w:p w14:paraId="73DDCACA" w14:textId="77777777" w:rsidR="00E1198C" w:rsidRDefault="00000000">
      <w:pPr>
        <w:pStyle w:val="Tekstpodstawowy"/>
        <w:spacing w:before="202" w:line="276" w:lineRule="auto"/>
        <w:ind w:left="510" w:right="476"/>
        <w:jc w:val="both"/>
      </w:pPr>
      <w:r>
        <w:rPr>
          <w:color w:val="231F20"/>
        </w:rPr>
        <w:t>The right to acquire and exercise the right of A-series subscription warrants for a given calendar year by Members of the Management Board is created after they have met the criteria for participating in the Incentive Program, including after they have achieved the so-called managerial goals set for the given year by the Supervisory Board. When determining managerial objectives, the Supervisory Board specifies the maximum number of subscription warrants for each eligible person. After verifying the completion of managerial objectives, the Supervisory Board presents the eligible persons with an offer to acquire warrants.</w:t>
      </w:r>
    </w:p>
    <w:p w14:paraId="4FF96E66" w14:textId="499DBE4B" w:rsidR="00E1198C" w:rsidRDefault="00000000" w:rsidP="009903A1">
      <w:pPr>
        <w:pStyle w:val="Tekstpodstawowy"/>
        <w:spacing w:before="121"/>
        <w:ind w:left="510" w:right="507"/>
        <w:jc w:val="both"/>
      </w:pPr>
      <w:r>
        <w:t>Information on the issue of C-series shares in 2024 as part of the implementation of the Incentive Program is presented in section 3.10 of this report.</w:t>
      </w:r>
    </w:p>
    <w:p w14:paraId="2F0D0F87" w14:textId="77777777" w:rsidR="00E1198C" w:rsidRDefault="00E1198C">
      <w:pPr>
        <w:pStyle w:val="Tekstpodstawowy"/>
        <w:spacing w:before="55"/>
      </w:pPr>
    </w:p>
    <w:p w14:paraId="23198B08" w14:textId="77777777" w:rsidR="00E1198C" w:rsidRDefault="00000000">
      <w:pPr>
        <w:pStyle w:val="Akapitzlist"/>
        <w:numPr>
          <w:ilvl w:val="1"/>
          <w:numId w:val="43"/>
        </w:numPr>
        <w:tabs>
          <w:tab w:val="left" w:pos="1088"/>
        </w:tabs>
        <w:spacing w:before="1"/>
        <w:ind w:hanging="578"/>
        <w:rPr>
          <w:sz w:val="18"/>
        </w:rPr>
      </w:pPr>
      <w:r>
        <w:rPr>
          <w:color w:val="F07D00"/>
          <w:sz w:val="18"/>
        </w:rPr>
        <w:t>Special control powers, restrictions on the exercise of voting rights and the transfer of securities</w:t>
      </w:r>
    </w:p>
    <w:p w14:paraId="25F77558" w14:textId="77777777" w:rsidR="00E1198C" w:rsidRDefault="00E1198C">
      <w:pPr>
        <w:pStyle w:val="Tekstpodstawowy"/>
        <w:spacing w:before="123"/>
      </w:pPr>
    </w:p>
    <w:p w14:paraId="215D76BB" w14:textId="77777777" w:rsidR="00E1198C" w:rsidRDefault="00000000">
      <w:pPr>
        <w:pStyle w:val="Tekstpodstawowy"/>
        <w:spacing w:line="276" w:lineRule="auto"/>
        <w:ind w:left="510" w:right="482"/>
        <w:jc w:val="both"/>
      </w:pPr>
      <w:r>
        <w:rPr>
          <w:color w:val="231F20"/>
        </w:rPr>
        <w:t>The sole holder of securities giving special control rights is Mr. Maciej Wieczorek, who indirectly through Glatton sp. z o. o., in which he holds 100% of shares, holds 15 million A1-series registered privileged shares of Celon Pharma S.A. Each A1-series registered privileged share grants its holder two votes at the General Meeting.</w:t>
      </w:r>
    </w:p>
    <w:p w14:paraId="19A09B88" w14:textId="77777777" w:rsidR="00E1198C" w:rsidRDefault="00E1198C">
      <w:pPr>
        <w:spacing w:line="276" w:lineRule="auto"/>
        <w:jc w:val="both"/>
        <w:sectPr w:rsidR="00E1198C">
          <w:pgSz w:w="11900" w:h="16840"/>
          <w:pgMar w:top="820" w:right="320" w:bottom="920" w:left="300" w:header="0" w:footer="726" w:gutter="0"/>
          <w:cols w:space="708"/>
        </w:sectPr>
      </w:pPr>
    </w:p>
    <w:p w14:paraId="417B81B4" w14:textId="77777777" w:rsidR="00E1198C" w:rsidRDefault="00000000">
      <w:pPr>
        <w:pStyle w:val="Tekstpodstawowy"/>
        <w:spacing w:before="61"/>
        <w:ind w:left="510"/>
      </w:pPr>
      <w:r>
        <w:rPr>
          <w:color w:val="231F20"/>
        </w:rPr>
        <w:lastRenderedPageBreak/>
        <w:t>There are no other securities in the Company that give special control rights.</w:t>
      </w:r>
    </w:p>
    <w:p w14:paraId="3A2BB34D" w14:textId="77777777" w:rsidR="00E1198C" w:rsidRDefault="00000000" w:rsidP="00122FB9">
      <w:pPr>
        <w:pStyle w:val="Tekstpodstawowy"/>
        <w:spacing w:before="152" w:line="283" w:lineRule="auto"/>
        <w:ind w:left="510" w:right="507"/>
      </w:pPr>
      <w:r>
        <w:rPr>
          <w:color w:val="231F20"/>
        </w:rPr>
        <w:t>There are no restrictions on the exercise of voting rights in the Company, other than those resulting from generally applicable law. There are no restrictions known to the Company regarding the transfer of ownership of the Company’s securities.</w:t>
      </w:r>
    </w:p>
    <w:p w14:paraId="6E8969FE" w14:textId="4BC8EDC5" w:rsidR="00E1198C" w:rsidRPr="00122FB9" w:rsidRDefault="00000000" w:rsidP="00122FB9">
      <w:pPr>
        <w:pStyle w:val="Akapitzlist"/>
        <w:numPr>
          <w:ilvl w:val="1"/>
          <w:numId w:val="43"/>
        </w:numPr>
        <w:tabs>
          <w:tab w:val="left" w:pos="1088"/>
        </w:tabs>
        <w:ind w:hanging="578"/>
        <w:rPr>
          <w:sz w:val="18"/>
        </w:rPr>
      </w:pPr>
      <w:r>
        <w:rPr>
          <w:color w:val="F07D00"/>
          <w:sz w:val="18"/>
        </w:rPr>
        <w:t>The Management Board of Celon Pharma S.A.</w:t>
      </w:r>
    </w:p>
    <w:p w14:paraId="28B426CB" w14:textId="77777777" w:rsidR="00E1198C" w:rsidRDefault="00000000">
      <w:pPr>
        <w:pStyle w:val="Akapitzlist"/>
        <w:numPr>
          <w:ilvl w:val="2"/>
          <w:numId w:val="43"/>
        </w:numPr>
        <w:tabs>
          <w:tab w:val="left" w:pos="1229"/>
        </w:tabs>
        <w:ind w:left="1229" w:hanging="719"/>
        <w:rPr>
          <w:sz w:val="18"/>
        </w:rPr>
      </w:pPr>
      <w:r>
        <w:rPr>
          <w:color w:val="F07D00"/>
          <w:sz w:val="18"/>
        </w:rPr>
        <w:t xml:space="preserve">Members of the Board </w:t>
      </w:r>
    </w:p>
    <w:p w14:paraId="2240F46B" w14:textId="77777777" w:rsidR="00E1198C" w:rsidRDefault="00E1198C">
      <w:pPr>
        <w:pStyle w:val="Tekstpodstawowy"/>
        <w:spacing w:before="55"/>
      </w:pPr>
    </w:p>
    <w:p w14:paraId="30ED68F7" w14:textId="77777777" w:rsidR="00E1198C" w:rsidRDefault="00000000">
      <w:pPr>
        <w:pStyle w:val="Tekstpodstawowy"/>
        <w:ind w:left="510"/>
      </w:pPr>
      <w:r>
        <w:rPr>
          <w:color w:val="231F20"/>
        </w:rPr>
        <w:t>As at January 1, 2024, the following persons make up as Management Board of Celon Pharma S.A.:</w:t>
      </w:r>
    </w:p>
    <w:p w14:paraId="1EE09922" w14:textId="77777777" w:rsidR="00E1198C" w:rsidRDefault="00000000">
      <w:pPr>
        <w:pStyle w:val="Tekstpodstawowy"/>
        <w:spacing w:before="10"/>
      </w:pPr>
      <w:r>
        <w:rPr>
          <w:noProof/>
        </w:rPr>
        <mc:AlternateContent>
          <mc:Choice Requires="wpg">
            <w:drawing>
              <wp:anchor distT="0" distB="0" distL="0" distR="0" simplePos="0" relativeHeight="251662848" behindDoc="1" locked="0" layoutInCell="1" allowOverlap="1" wp14:anchorId="12DF666F" wp14:editId="757E8567">
                <wp:simplePos x="0" y="0"/>
                <wp:positionH relativeFrom="page">
                  <wp:posOffset>497840</wp:posOffset>
                </wp:positionH>
                <wp:positionV relativeFrom="paragraph">
                  <wp:posOffset>163195</wp:posOffset>
                </wp:positionV>
                <wp:extent cx="6562090" cy="3159125"/>
                <wp:effectExtent l="0" t="0" r="0" b="3175"/>
                <wp:wrapTopAndBottom/>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62090" cy="3159125"/>
                          <a:chOff x="0" y="0"/>
                          <a:chExt cx="6562411" cy="2879809"/>
                        </a:xfrm>
                      </wpg:grpSpPr>
                      <pic:pic xmlns:pic="http://schemas.openxmlformats.org/drawingml/2006/picture">
                        <pic:nvPicPr>
                          <pic:cNvPr id="41" name="Image 41"/>
                          <pic:cNvPicPr/>
                        </pic:nvPicPr>
                        <pic:blipFill>
                          <a:blip r:embed="rId15" cstate="print"/>
                          <a:stretch>
                            <a:fillRect/>
                          </a:stretch>
                        </pic:blipFill>
                        <pic:spPr>
                          <a:xfrm>
                            <a:off x="0" y="0"/>
                            <a:ext cx="6545670" cy="2879809"/>
                          </a:xfrm>
                          <a:prstGeom prst="rect">
                            <a:avLst/>
                          </a:prstGeom>
                        </pic:spPr>
                      </pic:pic>
                      <wps:wsp>
                        <wps:cNvPr id="42" name="Textbox 42"/>
                        <wps:cNvSpPr txBox="1"/>
                        <wps:spPr>
                          <a:xfrm>
                            <a:off x="1493499" y="85734"/>
                            <a:ext cx="712470" cy="114935"/>
                          </a:xfrm>
                          <a:prstGeom prst="rect">
                            <a:avLst/>
                          </a:prstGeom>
                        </wps:spPr>
                        <wps:txbx>
                          <w:txbxContent>
                            <w:p w14:paraId="567D1766" w14:textId="77777777" w:rsidR="00E1198C" w:rsidRDefault="00000000">
                              <w:pPr>
                                <w:spacing w:line="181" w:lineRule="exact"/>
                                <w:rPr>
                                  <w:sz w:val="18"/>
                                </w:rPr>
                              </w:pPr>
                              <w:r>
                                <w:rPr>
                                  <w:color w:val="FFFFFF"/>
                                  <w:sz w:val="18"/>
                                </w:rPr>
                                <w:t>First and last name</w:t>
                              </w:r>
                            </w:p>
                          </w:txbxContent>
                        </wps:txbx>
                        <wps:bodyPr wrap="square" lIns="0" tIns="0" rIns="0" bIns="0" rtlCol="0">
                          <a:noAutofit/>
                        </wps:bodyPr>
                      </wps:wsp>
                      <wps:wsp>
                        <wps:cNvPr id="43" name="Textbox 43"/>
                        <wps:cNvSpPr txBox="1"/>
                        <wps:spPr>
                          <a:xfrm>
                            <a:off x="4723459" y="85734"/>
                            <a:ext cx="772160" cy="114935"/>
                          </a:xfrm>
                          <a:prstGeom prst="rect">
                            <a:avLst/>
                          </a:prstGeom>
                        </wps:spPr>
                        <wps:txbx>
                          <w:txbxContent>
                            <w:p w14:paraId="0C692E95" w14:textId="77777777" w:rsidR="00E1198C" w:rsidRDefault="00000000">
                              <w:pPr>
                                <w:spacing w:line="181" w:lineRule="exact"/>
                                <w:rPr>
                                  <w:sz w:val="18"/>
                                </w:rPr>
                              </w:pPr>
                              <w:r>
                                <w:rPr>
                                  <w:color w:val="FFFFFF"/>
                                  <w:sz w:val="18"/>
                                </w:rPr>
                                <w:t>Position held</w:t>
                              </w:r>
                            </w:p>
                          </w:txbxContent>
                        </wps:txbx>
                        <wps:bodyPr wrap="square" lIns="0" tIns="0" rIns="0" bIns="0" rtlCol="0">
                          <a:noAutofit/>
                        </wps:bodyPr>
                      </wps:wsp>
                      <wps:wsp>
                        <wps:cNvPr id="44" name="Textbox 44"/>
                        <wps:cNvSpPr txBox="1"/>
                        <wps:spPr>
                          <a:xfrm>
                            <a:off x="1429185" y="374415"/>
                            <a:ext cx="826769" cy="114935"/>
                          </a:xfrm>
                          <a:prstGeom prst="rect">
                            <a:avLst/>
                          </a:prstGeom>
                        </wps:spPr>
                        <wps:txbx>
                          <w:txbxContent>
                            <w:p w14:paraId="62DA04D0" w14:textId="77777777" w:rsidR="00E1198C" w:rsidRDefault="00000000">
                              <w:pPr>
                                <w:spacing w:line="180" w:lineRule="exact"/>
                                <w:rPr>
                                  <w:sz w:val="18"/>
                                </w:rPr>
                              </w:pPr>
                              <w:r>
                                <w:rPr>
                                  <w:color w:val="231F20"/>
                                  <w:sz w:val="18"/>
                                </w:rPr>
                                <w:t>Maciej Wieczorek</w:t>
                              </w:r>
                            </w:p>
                          </w:txbxContent>
                        </wps:txbx>
                        <wps:bodyPr wrap="square" lIns="0" tIns="0" rIns="0" bIns="0" rtlCol="0">
                          <a:noAutofit/>
                        </wps:bodyPr>
                      </wps:wsp>
                      <wps:wsp>
                        <wps:cNvPr id="45" name="Textbox 45"/>
                        <wps:cNvSpPr txBox="1"/>
                        <wps:spPr>
                          <a:xfrm>
                            <a:off x="4758742" y="371603"/>
                            <a:ext cx="701675" cy="114935"/>
                          </a:xfrm>
                          <a:prstGeom prst="rect">
                            <a:avLst/>
                          </a:prstGeom>
                        </wps:spPr>
                        <wps:txbx>
                          <w:txbxContent>
                            <w:p w14:paraId="143230FA" w14:textId="77777777" w:rsidR="00E1198C" w:rsidRDefault="00000000">
                              <w:pPr>
                                <w:spacing w:line="181" w:lineRule="exact"/>
                                <w:rPr>
                                  <w:sz w:val="18"/>
                                </w:rPr>
                              </w:pPr>
                              <w:r>
                                <w:rPr>
                                  <w:color w:val="231F20"/>
                                  <w:sz w:val="18"/>
                                </w:rPr>
                                <w:t>President of the Management Board</w:t>
                              </w:r>
                            </w:p>
                          </w:txbxContent>
                        </wps:txbx>
                        <wps:bodyPr wrap="square" lIns="0" tIns="0" rIns="0" bIns="0" rtlCol="0">
                          <a:noAutofit/>
                        </wps:bodyPr>
                      </wps:wsp>
                      <wps:wsp>
                        <wps:cNvPr id="46" name="Textbox 46"/>
                        <wps:cNvSpPr txBox="1"/>
                        <wps:spPr>
                          <a:xfrm>
                            <a:off x="1514937" y="643113"/>
                            <a:ext cx="666115" cy="114935"/>
                          </a:xfrm>
                          <a:prstGeom prst="rect">
                            <a:avLst/>
                          </a:prstGeom>
                        </wps:spPr>
                        <wps:txbx>
                          <w:txbxContent>
                            <w:p w14:paraId="284DFCCF" w14:textId="77777777" w:rsidR="00E1198C" w:rsidRDefault="00000000">
                              <w:pPr>
                                <w:spacing w:line="181" w:lineRule="exact"/>
                                <w:rPr>
                                  <w:sz w:val="18"/>
                                </w:rPr>
                              </w:pPr>
                              <w:r>
                                <w:rPr>
                                  <w:color w:val="231F20"/>
                                  <w:sz w:val="18"/>
                                </w:rPr>
                                <w:t>Bartosz Szałek</w:t>
                              </w:r>
                            </w:p>
                          </w:txbxContent>
                        </wps:txbx>
                        <wps:bodyPr wrap="square" lIns="0" tIns="0" rIns="0" bIns="0" rtlCol="0">
                          <a:noAutofit/>
                        </wps:bodyPr>
                      </wps:wsp>
                      <wps:wsp>
                        <wps:cNvPr id="47" name="Textbox 47"/>
                        <wps:cNvSpPr txBox="1"/>
                        <wps:spPr>
                          <a:xfrm>
                            <a:off x="4731665" y="643113"/>
                            <a:ext cx="763905" cy="114935"/>
                          </a:xfrm>
                          <a:prstGeom prst="rect">
                            <a:avLst/>
                          </a:prstGeom>
                        </wps:spPr>
                        <wps:txbx>
                          <w:txbxContent>
                            <w:p w14:paraId="3545FF82" w14:textId="77777777" w:rsidR="00E1198C" w:rsidRDefault="00000000">
                              <w:pPr>
                                <w:spacing w:line="181" w:lineRule="exact"/>
                                <w:rPr>
                                  <w:sz w:val="18"/>
                                </w:rPr>
                              </w:pPr>
                              <w:r>
                                <w:rPr>
                                  <w:color w:val="231F20"/>
                                  <w:sz w:val="18"/>
                                </w:rPr>
                                <w:t>Member of the Management Board</w:t>
                              </w:r>
                            </w:p>
                          </w:txbxContent>
                        </wps:txbx>
                        <wps:bodyPr wrap="square" lIns="0" tIns="0" rIns="0" bIns="0" rtlCol="0">
                          <a:noAutofit/>
                        </wps:bodyPr>
                      </wps:wsp>
                      <wps:wsp>
                        <wps:cNvPr id="48" name="Textbox 48"/>
                        <wps:cNvSpPr txBox="1"/>
                        <wps:spPr>
                          <a:xfrm>
                            <a:off x="14291" y="886072"/>
                            <a:ext cx="6548120" cy="897460"/>
                          </a:xfrm>
                          <a:prstGeom prst="rect">
                            <a:avLst/>
                          </a:prstGeom>
                        </wps:spPr>
                        <wps:txbx>
                          <w:txbxContent>
                            <w:p w14:paraId="3611A62E" w14:textId="376A1F4E" w:rsidR="00E1198C" w:rsidRDefault="00000000" w:rsidP="009903A1">
                              <w:pPr>
                                <w:spacing w:line="197" w:lineRule="exact"/>
                                <w:jc w:val="both"/>
                                <w:rPr>
                                  <w:sz w:val="18"/>
                                </w:rPr>
                              </w:pPr>
                              <w:r>
                                <w:rPr>
                                  <w:sz w:val="18"/>
                                </w:rPr>
                                <w:t xml:space="preserve">On December 19, 2024, the Supervisory Board of the Company, acting pursuant to Article 368 § 4 of the Commercial Companies Code in relation to § 17(4)(e) and § 20(2) of the Company’s Articles of Association, has adopted a resolution on the decision to appoint </w:t>
                              </w:r>
                              <w:r w:rsidR="00122FB9">
                                <w:rPr>
                                  <w:sz w:val="18"/>
                                </w:rPr>
                                <w:t>Ms.</w:t>
                              </w:r>
                              <w:r>
                                <w:rPr>
                                  <w:sz w:val="18"/>
                                </w:rPr>
                                <w:t xml:space="preserve"> Małgorzata Stokrocka as Member of the Management Board for a 5-year term, as </w:t>
                              </w:r>
                              <w:r w:rsidR="00122FB9">
                                <w:rPr>
                                  <w:sz w:val="18"/>
                                </w:rPr>
                                <w:t>of</w:t>
                              </w:r>
                              <w:r>
                                <w:rPr>
                                  <w:sz w:val="18"/>
                                </w:rPr>
                                <w:t xml:space="preserve"> effective as of January 1, 2025. </w:t>
                              </w:r>
                              <w:r w:rsidR="00122FB9">
                                <w:rPr>
                                  <w:sz w:val="18"/>
                                </w:rPr>
                                <w:t>Ms.</w:t>
                              </w:r>
                              <w:r>
                                <w:rPr>
                                  <w:sz w:val="18"/>
                                </w:rPr>
                                <w:t xml:space="preserve"> Małgorzata Stokrocka took on the position of Chief Development and Operations Officer at the Company. The Company announced the above in current report No. 25/2024 dated December 19, 2024.</w:t>
                              </w:r>
                            </w:p>
                            <w:p w14:paraId="5E210069" w14:textId="77777777" w:rsidR="00E1198C" w:rsidRDefault="00000000">
                              <w:pPr>
                                <w:spacing w:before="119" w:line="207" w:lineRule="exact"/>
                                <w:jc w:val="both"/>
                                <w:rPr>
                                  <w:sz w:val="18"/>
                                </w:rPr>
                              </w:pPr>
                              <w:r>
                                <w:rPr>
                                  <w:sz w:val="18"/>
                                </w:rPr>
                                <w:t>Therefore, as at January 01, 2025 and as at the date of publication of this report, the following persons make up  the Management Board of the Company:</w:t>
                              </w:r>
                            </w:p>
                          </w:txbxContent>
                        </wps:txbx>
                        <wps:bodyPr wrap="square" lIns="0" tIns="0" rIns="0" bIns="0" rtlCol="0">
                          <a:noAutofit/>
                        </wps:bodyPr>
                      </wps:wsp>
                      <wps:wsp>
                        <wps:cNvPr id="49" name="Textbox 49"/>
                        <wps:cNvSpPr txBox="1"/>
                        <wps:spPr>
                          <a:xfrm>
                            <a:off x="1493499" y="1915081"/>
                            <a:ext cx="712470" cy="114935"/>
                          </a:xfrm>
                          <a:prstGeom prst="rect">
                            <a:avLst/>
                          </a:prstGeom>
                        </wps:spPr>
                        <wps:txbx>
                          <w:txbxContent>
                            <w:p w14:paraId="79AF7E4A" w14:textId="77777777" w:rsidR="00E1198C" w:rsidRDefault="00000000">
                              <w:pPr>
                                <w:spacing w:line="181" w:lineRule="exact"/>
                                <w:rPr>
                                  <w:sz w:val="18"/>
                                </w:rPr>
                              </w:pPr>
                              <w:r>
                                <w:rPr>
                                  <w:color w:val="FFFFFF"/>
                                  <w:sz w:val="18"/>
                                </w:rPr>
                                <w:t>First and last name</w:t>
                              </w:r>
                            </w:p>
                          </w:txbxContent>
                        </wps:txbx>
                        <wps:bodyPr wrap="square" lIns="0" tIns="0" rIns="0" bIns="0" rtlCol="0">
                          <a:noAutofit/>
                        </wps:bodyPr>
                      </wps:wsp>
                      <wps:wsp>
                        <wps:cNvPr id="50" name="Textbox 50"/>
                        <wps:cNvSpPr txBox="1"/>
                        <wps:spPr>
                          <a:xfrm>
                            <a:off x="4723459" y="1915081"/>
                            <a:ext cx="772160" cy="114935"/>
                          </a:xfrm>
                          <a:prstGeom prst="rect">
                            <a:avLst/>
                          </a:prstGeom>
                        </wps:spPr>
                        <wps:txbx>
                          <w:txbxContent>
                            <w:p w14:paraId="23B3FF30" w14:textId="77777777" w:rsidR="00E1198C" w:rsidRDefault="00000000">
                              <w:pPr>
                                <w:spacing w:line="181" w:lineRule="exact"/>
                                <w:rPr>
                                  <w:sz w:val="18"/>
                                </w:rPr>
                              </w:pPr>
                              <w:r>
                                <w:rPr>
                                  <w:color w:val="FFFFFF"/>
                                  <w:sz w:val="18"/>
                                </w:rPr>
                                <w:t>Position held</w:t>
                              </w:r>
                            </w:p>
                          </w:txbxContent>
                        </wps:txbx>
                        <wps:bodyPr wrap="square" lIns="0" tIns="0" rIns="0" bIns="0" rtlCol="0">
                          <a:noAutofit/>
                        </wps:bodyPr>
                      </wps:wsp>
                      <wps:wsp>
                        <wps:cNvPr id="51" name="Textbox 51"/>
                        <wps:cNvSpPr txBox="1"/>
                        <wps:spPr>
                          <a:xfrm>
                            <a:off x="1429185" y="2189475"/>
                            <a:ext cx="826769" cy="114935"/>
                          </a:xfrm>
                          <a:prstGeom prst="rect">
                            <a:avLst/>
                          </a:prstGeom>
                        </wps:spPr>
                        <wps:txbx>
                          <w:txbxContent>
                            <w:p w14:paraId="11EC0CC7" w14:textId="77777777" w:rsidR="00E1198C" w:rsidRDefault="00000000">
                              <w:pPr>
                                <w:spacing w:line="180" w:lineRule="exact"/>
                                <w:rPr>
                                  <w:sz w:val="18"/>
                                </w:rPr>
                              </w:pPr>
                              <w:r>
                                <w:rPr>
                                  <w:color w:val="231F20"/>
                                  <w:sz w:val="18"/>
                                </w:rPr>
                                <w:t>Maciej Wieczorek</w:t>
                              </w:r>
                            </w:p>
                          </w:txbxContent>
                        </wps:txbx>
                        <wps:bodyPr wrap="square" lIns="0" tIns="0" rIns="0" bIns="0" rtlCol="0">
                          <a:noAutofit/>
                        </wps:bodyPr>
                      </wps:wsp>
                      <wps:wsp>
                        <wps:cNvPr id="52" name="Textbox 52"/>
                        <wps:cNvSpPr txBox="1"/>
                        <wps:spPr>
                          <a:xfrm>
                            <a:off x="4758742" y="2186663"/>
                            <a:ext cx="701675" cy="114935"/>
                          </a:xfrm>
                          <a:prstGeom prst="rect">
                            <a:avLst/>
                          </a:prstGeom>
                        </wps:spPr>
                        <wps:txbx>
                          <w:txbxContent>
                            <w:p w14:paraId="15E7E498" w14:textId="77777777" w:rsidR="00E1198C" w:rsidRDefault="00000000">
                              <w:pPr>
                                <w:spacing w:line="181" w:lineRule="exact"/>
                                <w:rPr>
                                  <w:sz w:val="18"/>
                                </w:rPr>
                              </w:pPr>
                              <w:r>
                                <w:rPr>
                                  <w:color w:val="231F20"/>
                                  <w:sz w:val="18"/>
                                </w:rPr>
                                <w:t>President of the Management Board</w:t>
                              </w:r>
                            </w:p>
                          </w:txbxContent>
                        </wps:txbx>
                        <wps:bodyPr wrap="square" lIns="0" tIns="0" rIns="0" bIns="0" rtlCol="0">
                          <a:noAutofit/>
                        </wps:bodyPr>
                      </wps:wsp>
                      <wps:wsp>
                        <wps:cNvPr id="53" name="Textbox 53"/>
                        <wps:cNvSpPr txBox="1"/>
                        <wps:spPr>
                          <a:xfrm>
                            <a:off x="1514937" y="2458197"/>
                            <a:ext cx="666115" cy="114935"/>
                          </a:xfrm>
                          <a:prstGeom prst="rect">
                            <a:avLst/>
                          </a:prstGeom>
                        </wps:spPr>
                        <wps:txbx>
                          <w:txbxContent>
                            <w:p w14:paraId="3D7E74FC" w14:textId="77777777" w:rsidR="00E1198C" w:rsidRDefault="00000000">
                              <w:pPr>
                                <w:spacing w:line="181" w:lineRule="exact"/>
                                <w:rPr>
                                  <w:sz w:val="18"/>
                                </w:rPr>
                              </w:pPr>
                              <w:r>
                                <w:rPr>
                                  <w:color w:val="231F20"/>
                                  <w:sz w:val="18"/>
                                </w:rPr>
                                <w:t>Bartosz Szałek</w:t>
                              </w:r>
                            </w:p>
                          </w:txbxContent>
                        </wps:txbx>
                        <wps:bodyPr wrap="square" lIns="0" tIns="0" rIns="0" bIns="0" rtlCol="0">
                          <a:noAutofit/>
                        </wps:bodyPr>
                      </wps:wsp>
                      <wps:wsp>
                        <wps:cNvPr id="54" name="Textbox 54"/>
                        <wps:cNvSpPr txBox="1"/>
                        <wps:spPr>
                          <a:xfrm>
                            <a:off x="4731665" y="2458197"/>
                            <a:ext cx="762635" cy="114935"/>
                          </a:xfrm>
                          <a:prstGeom prst="rect">
                            <a:avLst/>
                          </a:prstGeom>
                        </wps:spPr>
                        <wps:txbx>
                          <w:txbxContent>
                            <w:p w14:paraId="2D0223EF" w14:textId="77777777" w:rsidR="00E1198C" w:rsidRDefault="00000000">
                              <w:pPr>
                                <w:spacing w:line="181" w:lineRule="exact"/>
                                <w:rPr>
                                  <w:sz w:val="18"/>
                                </w:rPr>
                              </w:pPr>
                              <w:r>
                                <w:rPr>
                                  <w:color w:val="231F20"/>
                                  <w:sz w:val="18"/>
                                </w:rPr>
                                <w:t>Member of the Management Board</w:t>
                              </w:r>
                            </w:p>
                          </w:txbxContent>
                        </wps:txbx>
                        <wps:bodyPr wrap="square" lIns="0" tIns="0" rIns="0" bIns="0" rtlCol="0">
                          <a:noAutofit/>
                        </wps:bodyPr>
                      </wps:wsp>
                      <wps:wsp>
                        <wps:cNvPr id="55" name="Textbox 55"/>
                        <wps:cNvSpPr txBox="1"/>
                        <wps:spPr>
                          <a:xfrm>
                            <a:off x="1336288" y="2722587"/>
                            <a:ext cx="1009015" cy="114935"/>
                          </a:xfrm>
                          <a:prstGeom prst="rect">
                            <a:avLst/>
                          </a:prstGeom>
                        </wps:spPr>
                        <wps:txbx>
                          <w:txbxContent>
                            <w:p w14:paraId="3C7D8977" w14:textId="77777777" w:rsidR="00E1198C" w:rsidRDefault="00000000">
                              <w:pPr>
                                <w:spacing w:line="181" w:lineRule="exact"/>
                                <w:rPr>
                                  <w:sz w:val="18"/>
                                </w:rPr>
                              </w:pPr>
                              <w:r>
                                <w:rPr>
                                  <w:color w:val="231F20"/>
                                  <w:sz w:val="18"/>
                                </w:rPr>
                                <w:t>Małgorzata Stokrocka</w:t>
                              </w:r>
                            </w:p>
                          </w:txbxContent>
                        </wps:txbx>
                        <wps:bodyPr wrap="square" lIns="0" tIns="0" rIns="0" bIns="0" rtlCol="0">
                          <a:noAutofit/>
                        </wps:bodyPr>
                      </wps:wsp>
                      <wps:wsp>
                        <wps:cNvPr id="56" name="Textbox 56"/>
                        <wps:cNvSpPr txBox="1"/>
                        <wps:spPr>
                          <a:xfrm>
                            <a:off x="4725357" y="2722587"/>
                            <a:ext cx="763905" cy="114935"/>
                          </a:xfrm>
                          <a:prstGeom prst="rect">
                            <a:avLst/>
                          </a:prstGeom>
                        </wps:spPr>
                        <wps:txbx>
                          <w:txbxContent>
                            <w:p w14:paraId="6604724C" w14:textId="77777777" w:rsidR="00E1198C" w:rsidRDefault="00000000">
                              <w:pPr>
                                <w:spacing w:line="181" w:lineRule="exact"/>
                                <w:rPr>
                                  <w:sz w:val="18"/>
                                </w:rPr>
                              </w:pPr>
                              <w:r>
                                <w:rPr>
                                  <w:color w:val="231F20"/>
                                  <w:sz w:val="18"/>
                                </w:rPr>
                                <w:t>Member of the Management Board</w:t>
                              </w:r>
                            </w:p>
                          </w:txbxContent>
                        </wps:txbx>
                        <wps:bodyPr wrap="square" lIns="0" tIns="0" rIns="0" bIns="0" rtlCol="0">
                          <a:noAutofit/>
                        </wps:bodyPr>
                      </wps:wsp>
                    </wpg:wgp>
                  </a:graphicData>
                </a:graphic>
                <wp14:sizeRelV relativeFrom="margin">
                  <wp14:pctHeight>0</wp14:pctHeight>
                </wp14:sizeRelV>
              </wp:anchor>
            </w:drawing>
          </mc:Choice>
          <mc:Fallback>
            <w:pict>
              <v:group w14:anchorId="12DF666F" id="Group 40" o:spid="_x0000_s1026" style="position:absolute;margin-left:39.2pt;margin-top:12.85pt;width:516.7pt;height:248.75pt;z-index:-251653632;mso-wrap-distance-left:0;mso-wrap-distance-right:0;mso-position-horizontal-relative:page;mso-height-relative:margin" coordsize="65624,287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1" o:spid="_x0000_s1027" type="#_x0000_t75" style="position:absolute;width:65456;height:287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">
                  <v:imagedata r:id="rId16" o:title=""/>
                </v:shape>
                <v:shapetype id="_x0000_t202" coordsize="21600,21600" o:spt="202" path="m,l,21600r21600,l21600,xe">
                  <v:stroke joinstyle="miter"/>
                  <v:path gradientshapeok="t" o:connecttype="rect"/>
                </v:shapetype>
                <v:shape id="Textbox 42" o:spid="_x0000_s1028" type="#_x0000_t202" style="position:absolute;left:14934;top:857;width:7125;height:1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567D1766" w14:textId="77777777" w:rsidR="00E1198C" w:rsidRDefault="00000000">
                        <w:pPr>
                          <w:spacing w:line="181" w:lineRule="exact"/>
                          <w:rPr>
                            <w:sz w:val="18"/>
                          </w:rPr>
                        </w:pPr>
                        <w:r>
                          <w:rPr>
                            <w:color w:val="FFFFFF"/>
                            <w:sz w:val="18"/>
                          </w:rPr>
                          <w:t>First and last name</w:t>
                        </w:r>
                      </w:p>
                    </w:txbxContent>
                  </v:textbox>
                </v:shape>
                <v:shape id="Textbox 43" o:spid="_x0000_s1029" type="#_x0000_t202" style="position:absolute;left:47234;top:857;width:7722;height:1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0C692E95" w14:textId="77777777" w:rsidR="00E1198C" w:rsidRDefault="00000000">
                        <w:pPr>
                          <w:spacing w:line="181" w:lineRule="exact"/>
                          <w:rPr>
                            <w:sz w:val="18"/>
                          </w:rPr>
                        </w:pPr>
                        <w:r>
                          <w:rPr>
                            <w:color w:val="FFFFFF"/>
                            <w:sz w:val="18"/>
                          </w:rPr>
                          <w:t>Position held</w:t>
                        </w:r>
                      </w:p>
                    </w:txbxContent>
                  </v:textbox>
                </v:shape>
                <v:shape id="Textbox 44" o:spid="_x0000_s1030" type="#_x0000_t202" style="position:absolute;left:14291;top:3744;width:8268;height:1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62DA04D0" w14:textId="77777777" w:rsidR="00E1198C" w:rsidRDefault="00000000">
                        <w:pPr>
                          <w:spacing w:line="180" w:lineRule="exact"/>
                          <w:rPr>
                            <w:sz w:val="18"/>
                          </w:rPr>
                        </w:pPr>
                        <w:r>
                          <w:rPr>
                            <w:color w:val="231F20"/>
                            <w:sz w:val="18"/>
                          </w:rPr>
                          <w:t>Maciej Wieczorek</w:t>
                        </w:r>
                      </w:p>
                    </w:txbxContent>
                  </v:textbox>
                </v:shape>
                <v:shape id="Textbox 45" o:spid="_x0000_s1031" type="#_x0000_t202" style="position:absolute;left:47587;top:3716;width:7017;height:1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4yxAAAANsAAAAPAAAAZHJzL2Rvd25yZXYueG1sRI9Ba8JA&#10;FITvBf/D8oTe6sbS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Bb9LjLEAAAA2wAAAA8A&#10;AAAAAAAAAAAAAAAABwIAAGRycy9kb3ducmV2LnhtbFBLBQYAAAAAAwADALcAAAD4AgAAAAA=&#10;" filled="f" stroked="f">
                  <v:textbox inset="0,0,0,0">
                    <w:txbxContent>
                      <w:p w14:paraId="143230FA" w14:textId="77777777" w:rsidR="00E1198C" w:rsidRDefault="00000000">
                        <w:pPr>
                          <w:spacing w:line="181" w:lineRule="exact"/>
                          <w:rPr>
                            <w:sz w:val="18"/>
                          </w:rPr>
                        </w:pPr>
                        <w:r>
                          <w:rPr>
                            <w:color w:val="231F20"/>
                            <w:sz w:val="18"/>
                          </w:rPr>
                          <w:t>President of the Management Board</w:t>
                        </w:r>
                      </w:p>
                    </w:txbxContent>
                  </v:textbox>
                </v:shape>
                <v:shape id="Textbox 46" o:spid="_x0000_s1032" type="#_x0000_t202" style="position:absolute;left:15149;top:6431;width:6661;height:1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7BFxAAAANsAAAAPAAAAZHJzL2Rvd25yZXYueG1sRI9Ba8JA&#10;FITvBf/D8oTe6sZS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OYvsEXEAAAA2wAAAA8A&#10;AAAAAAAAAAAAAAAABwIAAGRycy9kb3ducmV2LnhtbFBLBQYAAAAAAwADALcAAAD4AgAAAAA=&#10;" filled="f" stroked="f">
                  <v:textbox inset="0,0,0,0">
                    <w:txbxContent>
                      <w:p w14:paraId="284DFCCF" w14:textId="77777777" w:rsidR="00E1198C" w:rsidRDefault="00000000">
                        <w:pPr>
                          <w:spacing w:line="181" w:lineRule="exact"/>
                          <w:rPr>
                            <w:sz w:val="18"/>
                          </w:rPr>
                        </w:pPr>
                        <w:r>
                          <w:rPr>
                            <w:color w:val="231F20"/>
                            <w:sz w:val="18"/>
                          </w:rPr>
                          <w:t>Bartosz Szałek</w:t>
                        </w:r>
                      </w:p>
                    </w:txbxContent>
                  </v:textbox>
                </v:shape>
                <v:shape id="Textbox 47" o:spid="_x0000_s1033" type="#_x0000_t202" style="position:absolute;left:47316;top:6431;width:7639;height:1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xXexQAAANsAAAAPAAAAZHJzL2Rvd25yZXYueG1sRI9Ba8JA&#10;FITvQv/D8gredFMR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CJYxXexQAAANsAAAAP&#10;AAAAAAAAAAAAAAAAAAcCAABkcnMvZG93bnJldi54bWxQSwUGAAAAAAMAAwC3AAAA+QIAAAAA&#10;" filled="f" stroked="f">
                  <v:textbox inset="0,0,0,0">
                    <w:txbxContent>
                      <w:p w14:paraId="3545FF82" w14:textId="77777777" w:rsidR="00E1198C" w:rsidRDefault="00000000">
                        <w:pPr>
                          <w:spacing w:line="181" w:lineRule="exact"/>
                          <w:rPr>
                            <w:sz w:val="18"/>
                          </w:rPr>
                        </w:pPr>
                        <w:r>
                          <w:rPr>
                            <w:color w:val="231F20"/>
                            <w:sz w:val="18"/>
                          </w:rPr>
                          <w:t>Member of the Management Board</w:t>
                        </w:r>
                      </w:p>
                    </w:txbxContent>
                  </v:textbox>
                </v:shape>
                <v:shape id="Textbox 48" o:spid="_x0000_s1034" type="#_x0000_t202" style="position:absolute;left:142;top:8860;width:65482;height:8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GswAAAANsAAAAPAAAAZHJzL2Rvd25yZXYueG1sRE9Ni8Iw&#10;EL0v+B/CCN7W1E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PyBrMAAAADbAAAADwAAAAAA&#10;AAAAAAAAAAAHAgAAZHJzL2Rvd25yZXYueG1sUEsFBgAAAAADAAMAtwAAAPQCAAAAAA==&#10;" filled="f" stroked="f">
                  <v:textbox inset="0,0,0,0">
                    <w:txbxContent>
                      <w:p w14:paraId="3611A62E" w14:textId="376A1F4E" w:rsidR="00E1198C" w:rsidRDefault="00000000" w:rsidP="009903A1">
                        <w:pPr>
                          <w:spacing w:line="197" w:lineRule="exact"/>
                          <w:jc w:val="both"/>
                          <w:rPr>
                            <w:sz w:val="18"/>
                          </w:rPr>
                        </w:pPr>
                        <w:r>
                          <w:rPr>
                            <w:sz w:val="18"/>
                          </w:rPr>
                          <w:t xml:space="preserve">On December 19, 2024, the Supervisory Board of the Company, acting pursuant to Article 368 § 4 of the Commercial Companies Code in relation to § 17(4)(e) and § 20(2) of the Company’s Articles of Association, has adopted a resolution on the decision to appoint </w:t>
                        </w:r>
                        <w:r w:rsidR="00122FB9">
                          <w:rPr>
                            <w:sz w:val="18"/>
                          </w:rPr>
                          <w:t>Ms.</w:t>
                        </w:r>
                        <w:r>
                          <w:rPr>
                            <w:sz w:val="18"/>
                          </w:rPr>
                          <w:t xml:space="preserve"> Małgorzata Stokrocka as Member of the Management Board for a 5-year term, as </w:t>
                        </w:r>
                        <w:r w:rsidR="00122FB9">
                          <w:rPr>
                            <w:sz w:val="18"/>
                          </w:rPr>
                          <w:t>of</w:t>
                        </w:r>
                        <w:r>
                          <w:rPr>
                            <w:sz w:val="18"/>
                          </w:rPr>
                          <w:t xml:space="preserve"> effective as of January 1, 2025. </w:t>
                        </w:r>
                        <w:r w:rsidR="00122FB9">
                          <w:rPr>
                            <w:sz w:val="18"/>
                          </w:rPr>
                          <w:t>Ms.</w:t>
                        </w:r>
                        <w:r>
                          <w:rPr>
                            <w:sz w:val="18"/>
                          </w:rPr>
                          <w:t xml:space="preserve"> Małgorzata Stokrocka took on the position of Chief Development and Operations Officer at the Company. The Company announced the above in current report No. 25/2024 dated December 19, 2024.</w:t>
                        </w:r>
                      </w:p>
                      <w:p w14:paraId="5E210069" w14:textId="77777777" w:rsidR="00E1198C" w:rsidRDefault="00000000">
                        <w:pPr>
                          <w:spacing w:before="119" w:line="207" w:lineRule="exact"/>
                          <w:jc w:val="both"/>
                          <w:rPr>
                            <w:sz w:val="18"/>
                          </w:rPr>
                        </w:pPr>
                        <w:r>
                          <w:rPr>
                            <w:sz w:val="18"/>
                          </w:rPr>
                          <w:t>Therefore, as at January 01, 2025 and as at the date of publication of this report, the following persons make up  the Management Board of the Company:</w:t>
                        </w:r>
                      </w:p>
                    </w:txbxContent>
                  </v:textbox>
                </v:shape>
                <v:shape id="Textbox 49" o:spid="_x0000_s1035" type="#_x0000_t202" style="position:absolute;left:14934;top:19150;width:7125;height:1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CQ3wwAAANsAAAAPAAAAZHJzL2Rvd25yZXYueG1sRI9Ba8JA&#10;FITvBf/D8gre6qYi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l7AkN8MAAADbAAAADwAA&#10;AAAAAAAAAAAAAAAHAgAAZHJzL2Rvd25yZXYueG1sUEsFBgAAAAADAAMAtwAAAPcCAAAAAA==&#10;" filled="f" stroked="f">
                  <v:textbox inset="0,0,0,0">
                    <w:txbxContent>
                      <w:p w14:paraId="79AF7E4A" w14:textId="77777777" w:rsidR="00E1198C" w:rsidRDefault="00000000">
                        <w:pPr>
                          <w:spacing w:line="181" w:lineRule="exact"/>
                          <w:rPr>
                            <w:sz w:val="18"/>
                          </w:rPr>
                        </w:pPr>
                        <w:r>
                          <w:rPr>
                            <w:color w:val="FFFFFF"/>
                            <w:sz w:val="18"/>
                          </w:rPr>
                          <w:t>First and last name</w:t>
                        </w:r>
                      </w:p>
                    </w:txbxContent>
                  </v:textbox>
                </v:shape>
                <v:shape id="Textbox 50" o:spid="_x0000_s1036" type="#_x0000_t202" style="position:absolute;left:47234;top:19150;width:7722;height:1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xt3wAAAANsAAAAPAAAAZHJzL2Rvd25yZXYueG1sRE9Ni8Iw&#10;EL0v+B/CCN7W1AVl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g1Mbd8AAAADbAAAADwAAAAAA&#10;AAAAAAAAAAAHAgAAZHJzL2Rvd25yZXYueG1sUEsFBgAAAAADAAMAtwAAAPQCAAAAAA==&#10;" filled="f" stroked="f">
                  <v:textbox inset="0,0,0,0">
                    <w:txbxContent>
                      <w:p w14:paraId="23B3FF30" w14:textId="77777777" w:rsidR="00E1198C" w:rsidRDefault="00000000">
                        <w:pPr>
                          <w:spacing w:line="181" w:lineRule="exact"/>
                          <w:rPr>
                            <w:sz w:val="18"/>
                          </w:rPr>
                        </w:pPr>
                        <w:r>
                          <w:rPr>
                            <w:color w:val="FFFFFF"/>
                            <w:sz w:val="18"/>
                          </w:rPr>
                          <w:t>Position held</w:t>
                        </w:r>
                      </w:p>
                    </w:txbxContent>
                  </v:textbox>
                </v:shape>
                <v:shape id="Textbox 51" o:spid="_x0000_s1037" type="#_x0000_t202" style="position:absolute;left:14291;top:21894;width:8268;height:1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77sxQAAANsAAAAPAAAAZHJzL2Rvd25yZXYueG1sRI9Ba8JA&#10;FITvhf6H5RW8NRsFpU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DsH77sxQAAANsAAAAP&#10;AAAAAAAAAAAAAAAAAAcCAABkcnMvZG93bnJldi54bWxQSwUGAAAAAAMAAwC3AAAA+QIAAAAA&#10;" filled="f" stroked="f">
                  <v:textbox inset="0,0,0,0">
                    <w:txbxContent>
                      <w:p w14:paraId="11EC0CC7" w14:textId="77777777" w:rsidR="00E1198C" w:rsidRDefault="00000000">
                        <w:pPr>
                          <w:spacing w:line="180" w:lineRule="exact"/>
                          <w:rPr>
                            <w:sz w:val="18"/>
                          </w:rPr>
                        </w:pPr>
                        <w:r>
                          <w:rPr>
                            <w:color w:val="231F20"/>
                            <w:sz w:val="18"/>
                          </w:rPr>
                          <w:t>Maciej Wieczorek</w:t>
                        </w:r>
                      </w:p>
                    </w:txbxContent>
                  </v:textbox>
                </v:shape>
                <v:shape id="Textbox 52" o:spid="_x0000_s1038" type="#_x0000_t202" style="position:absolute;left:47587;top:21866;width:7017;height:1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SCbwwAAANsAAAAPAAAAZHJzL2Rvd25yZXYueG1sRI9Ba8JA&#10;FITvQv/D8gredKOg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HM0gm8MAAADbAAAADwAA&#10;AAAAAAAAAAAAAAAHAgAAZHJzL2Rvd25yZXYueG1sUEsFBgAAAAADAAMAtwAAAPcCAAAAAA==&#10;" filled="f" stroked="f">
                  <v:textbox inset="0,0,0,0">
                    <w:txbxContent>
                      <w:p w14:paraId="15E7E498" w14:textId="77777777" w:rsidR="00E1198C" w:rsidRDefault="00000000">
                        <w:pPr>
                          <w:spacing w:line="181" w:lineRule="exact"/>
                          <w:rPr>
                            <w:sz w:val="18"/>
                          </w:rPr>
                        </w:pPr>
                        <w:r>
                          <w:rPr>
                            <w:color w:val="231F20"/>
                            <w:sz w:val="18"/>
                          </w:rPr>
                          <w:t>President of the Management Board</w:t>
                        </w:r>
                      </w:p>
                    </w:txbxContent>
                  </v:textbox>
                </v:shape>
                <v:shape id="Textbox 53" o:spid="_x0000_s1039" type="#_x0000_t202" style="position:absolute;left:15149;top:24581;width:6661;height:1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YUAxAAAANsAAAAPAAAAZHJzL2Rvd25yZXYueG1sRI9Ba8JA&#10;FITvBf/D8oTe6saW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HOBhQDEAAAA2wAAAA8A&#10;AAAAAAAAAAAAAAAABwIAAGRycy9kb3ducmV2LnhtbFBLBQYAAAAAAwADALcAAAD4AgAAAAA=&#10;" filled="f" stroked="f">
                  <v:textbox inset="0,0,0,0">
                    <w:txbxContent>
                      <w:p w14:paraId="3D7E74FC" w14:textId="77777777" w:rsidR="00E1198C" w:rsidRDefault="00000000">
                        <w:pPr>
                          <w:spacing w:line="181" w:lineRule="exact"/>
                          <w:rPr>
                            <w:sz w:val="18"/>
                          </w:rPr>
                        </w:pPr>
                        <w:r>
                          <w:rPr>
                            <w:color w:val="231F20"/>
                            <w:sz w:val="18"/>
                          </w:rPr>
                          <w:t>Bartosz Szałek</w:t>
                        </w:r>
                      </w:p>
                    </w:txbxContent>
                  </v:textbox>
                </v:shape>
                <v:shape id="Textbox 54" o:spid="_x0000_s1040" type="#_x0000_t202" style="position:absolute;left:47316;top:24581;width:7627;height:1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14:paraId="2D0223EF" w14:textId="77777777" w:rsidR="00E1198C" w:rsidRDefault="00000000">
                        <w:pPr>
                          <w:spacing w:line="181" w:lineRule="exact"/>
                          <w:rPr>
                            <w:sz w:val="18"/>
                          </w:rPr>
                        </w:pPr>
                        <w:r>
                          <w:rPr>
                            <w:color w:val="231F20"/>
                            <w:sz w:val="18"/>
                          </w:rPr>
                          <w:t>Member of the Management Board</w:t>
                        </w:r>
                      </w:p>
                    </w:txbxContent>
                  </v:textbox>
                </v:shape>
                <v:shape id="Textbox 55" o:spid="_x0000_s1041" type="#_x0000_t202" style="position:absolute;left:13362;top:27225;width:10091;height:1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3C7D8977" w14:textId="77777777" w:rsidR="00E1198C" w:rsidRDefault="00000000">
                        <w:pPr>
                          <w:spacing w:line="181" w:lineRule="exact"/>
                          <w:rPr>
                            <w:sz w:val="18"/>
                          </w:rPr>
                        </w:pPr>
                        <w:r>
                          <w:rPr>
                            <w:color w:val="231F20"/>
                            <w:sz w:val="18"/>
                          </w:rPr>
                          <w:t>Małgorzata Stokrocka</w:t>
                        </w:r>
                      </w:p>
                    </w:txbxContent>
                  </v:textbox>
                </v:shape>
                <v:shape id="Textbox 56" o:spid="_x0000_s1042" type="#_x0000_t202" style="position:absolute;left:47253;top:27225;width:7639;height:1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iaYxAAAANsAAAAPAAAAZHJzL2Rvd25yZXYueG1sRI9Ba8JA&#10;FITvBf/D8oTe6sZCQx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GP2JpjEAAAA2wAAAA8A&#10;AAAAAAAAAAAAAAAABwIAAGRycy9kb3ducmV2LnhtbFBLBQYAAAAAAwADALcAAAD4AgAAAAA=&#10;" filled="f" stroked="f">
                  <v:textbox inset="0,0,0,0">
                    <w:txbxContent>
                      <w:p w14:paraId="6604724C" w14:textId="77777777" w:rsidR="00E1198C" w:rsidRDefault="00000000">
                        <w:pPr>
                          <w:spacing w:line="181" w:lineRule="exact"/>
                          <w:rPr>
                            <w:sz w:val="18"/>
                          </w:rPr>
                        </w:pPr>
                        <w:r>
                          <w:rPr>
                            <w:color w:val="231F20"/>
                            <w:sz w:val="18"/>
                          </w:rPr>
                          <w:t>Member of the Management Board</w:t>
                        </w:r>
                      </w:p>
                    </w:txbxContent>
                  </v:textbox>
                </v:shape>
                <w10:wrap type="topAndBottom" anchorx="page"/>
              </v:group>
            </w:pict>
          </mc:Fallback>
        </mc:AlternateContent>
      </w:r>
    </w:p>
    <w:p w14:paraId="295F792E" w14:textId="77777777" w:rsidR="00E1198C" w:rsidRDefault="00E1198C">
      <w:pPr>
        <w:pStyle w:val="Tekstpodstawowy"/>
        <w:spacing w:before="117"/>
      </w:pPr>
    </w:p>
    <w:p w14:paraId="4EB8ACA8" w14:textId="77777777" w:rsidR="00E1198C" w:rsidRDefault="00000000">
      <w:pPr>
        <w:pStyle w:val="Akapitzlist"/>
        <w:numPr>
          <w:ilvl w:val="2"/>
          <w:numId w:val="43"/>
        </w:numPr>
        <w:tabs>
          <w:tab w:val="left" w:pos="1229"/>
        </w:tabs>
        <w:ind w:left="1229" w:hanging="719"/>
        <w:rPr>
          <w:sz w:val="18"/>
        </w:rPr>
      </w:pPr>
      <w:r>
        <w:rPr>
          <w:color w:val="F07D00"/>
          <w:sz w:val="18"/>
        </w:rPr>
        <w:t>Principles of appointing and dismissing Members</w:t>
      </w:r>
      <w:r>
        <w:rPr>
          <w:color w:val="F07D00"/>
          <w:sz w:val="18"/>
        </w:rPr>
        <w:tab/>
      </w:r>
    </w:p>
    <w:p w14:paraId="1DC485CB" w14:textId="64D256AC" w:rsidR="00E1198C" w:rsidRDefault="00000000" w:rsidP="00122FB9">
      <w:pPr>
        <w:pStyle w:val="Tekstpodstawowy"/>
        <w:spacing w:before="152" w:line="271" w:lineRule="auto"/>
        <w:ind w:left="510" w:right="507"/>
        <w:jc w:val="both"/>
      </w:pPr>
      <w:r>
        <w:rPr>
          <w:color w:val="231F20"/>
        </w:rPr>
        <w:t>The Management Board of the Company is made up of at least two members, including the President of the Management Board. The Supervisory Board appoints and dismisses Management Board members and determines the number of Management Board members</w:t>
      </w:r>
      <w:r w:rsidR="00122FB9">
        <w:rPr>
          <w:color w:val="231F20"/>
        </w:rPr>
        <w:t>.</w:t>
      </w:r>
    </w:p>
    <w:p w14:paraId="174D91A5" w14:textId="77777777" w:rsidR="00E1198C" w:rsidRDefault="00000000" w:rsidP="00122FB9">
      <w:pPr>
        <w:pStyle w:val="Tekstpodstawowy"/>
        <w:spacing w:before="122" w:line="283" w:lineRule="auto"/>
        <w:ind w:left="510" w:right="507"/>
        <w:jc w:val="both"/>
      </w:pPr>
      <w:r>
        <w:rPr>
          <w:color w:val="231F20"/>
        </w:rPr>
        <w:t>Members of the Management Board are appointed for individual, 5-year terms of office. The Articles of Association of the Company do not specify that the term of office is calculated differently than in full financial years.</w:t>
      </w:r>
    </w:p>
    <w:p w14:paraId="15D912B4" w14:textId="77777777" w:rsidR="00E1198C" w:rsidRDefault="00000000" w:rsidP="00122FB9">
      <w:pPr>
        <w:pStyle w:val="Tekstpodstawowy"/>
        <w:spacing w:before="112"/>
        <w:ind w:left="510" w:right="507"/>
        <w:jc w:val="both"/>
      </w:pPr>
      <w:r>
        <w:rPr>
          <w:color w:val="231F20"/>
        </w:rPr>
        <w:t>Mr. Maciej Wieczorek was appointed for a 5-year term as of January 24, 2024. His term ends on December 31, 2029.</w:t>
      </w:r>
    </w:p>
    <w:p w14:paraId="43AF39DD" w14:textId="504C901A" w:rsidR="00E1198C" w:rsidRDefault="00000000" w:rsidP="00122FB9">
      <w:pPr>
        <w:pStyle w:val="Tekstpodstawowy"/>
        <w:spacing w:before="151" w:line="283" w:lineRule="auto"/>
        <w:ind w:left="510" w:right="507"/>
        <w:jc w:val="both"/>
      </w:pPr>
      <w:r>
        <w:rPr>
          <w:color w:val="231F20"/>
        </w:rPr>
        <w:t xml:space="preserve">The resolution to appoint Mr. Bartosz Szałek to the Management Board and to entrust him with the position of Member of the Management Board and CFO was adopted by the Supervisory Board on July 4, 2023. The term of office of </w:t>
      </w:r>
      <w:r w:rsidR="00122FB9">
        <w:rPr>
          <w:color w:val="231F20"/>
        </w:rPr>
        <w:t>Mr.</w:t>
      </w:r>
      <w:r>
        <w:rPr>
          <w:color w:val="231F20"/>
        </w:rPr>
        <w:t xml:space="preserve"> Bartosz Szałek ends on 31 December 31, 2028.</w:t>
      </w:r>
    </w:p>
    <w:p w14:paraId="344BAF26" w14:textId="2B86936C" w:rsidR="00E1198C" w:rsidRDefault="00000000">
      <w:pPr>
        <w:pStyle w:val="Tekstpodstawowy"/>
        <w:spacing w:before="112" w:line="276" w:lineRule="auto"/>
        <w:ind w:left="510" w:right="477"/>
        <w:jc w:val="both"/>
      </w:pPr>
      <w:r>
        <w:rPr>
          <w:color w:val="231F20"/>
        </w:rPr>
        <w:t xml:space="preserve">The resolution to appoint </w:t>
      </w:r>
      <w:r w:rsidR="00122FB9">
        <w:rPr>
          <w:color w:val="231F20"/>
        </w:rPr>
        <w:t>Ms.</w:t>
      </w:r>
      <w:r>
        <w:rPr>
          <w:color w:val="231F20"/>
        </w:rPr>
        <w:t xml:space="preserve"> Małgorzata Stokrocka to the Management Board and to entrust her with the position of Chief Development and Operations Officer at the Company was adopted by the Supervisory Board on December 19, 2024. The term of office of </w:t>
      </w:r>
      <w:r w:rsidR="00122FB9">
        <w:rPr>
          <w:color w:val="231F20"/>
        </w:rPr>
        <w:t>Ms.</w:t>
      </w:r>
      <w:r>
        <w:rPr>
          <w:color w:val="231F20"/>
        </w:rPr>
        <w:t xml:space="preserve"> Małgorzata Stokrocka ends on December 31, 2029.</w:t>
      </w:r>
    </w:p>
    <w:p w14:paraId="568B12CE" w14:textId="77777777" w:rsidR="00E1198C" w:rsidRDefault="00E1198C">
      <w:pPr>
        <w:pStyle w:val="Tekstpodstawowy"/>
        <w:spacing w:before="136"/>
      </w:pPr>
    </w:p>
    <w:p w14:paraId="305D460C" w14:textId="77777777" w:rsidR="00E1198C" w:rsidRDefault="00000000">
      <w:pPr>
        <w:pStyle w:val="Akapitzlist"/>
        <w:numPr>
          <w:ilvl w:val="2"/>
          <w:numId w:val="43"/>
        </w:numPr>
        <w:tabs>
          <w:tab w:val="left" w:pos="1229"/>
        </w:tabs>
        <w:ind w:left="1229" w:hanging="719"/>
        <w:rPr>
          <w:sz w:val="18"/>
        </w:rPr>
      </w:pPr>
      <w:r>
        <w:rPr>
          <w:color w:val="F07D00"/>
          <w:sz w:val="18"/>
        </w:rPr>
        <w:t>Description of operations and powers of the body</w:t>
      </w:r>
      <w:r>
        <w:rPr>
          <w:color w:val="F07D00"/>
          <w:sz w:val="18"/>
        </w:rPr>
        <w:tab/>
      </w:r>
    </w:p>
    <w:p w14:paraId="055512B4" w14:textId="77777777" w:rsidR="00E1198C" w:rsidRDefault="00E1198C">
      <w:pPr>
        <w:pStyle w:val="Tekstpodstawowy"/>
        <w:spacing w:before="56"/>
      </w:pPr>
    </w:p>
    <w:p w14:paraId="2BBB3CCA" w14:textId="77777777" w:rsidR="00E1198C" w:rsidRDefault="00000000">
      <w:pPr>
        <w:pStyle w:val="Tekstpodstawowy"/>
        <w:spacing w:line="276" w:lineRule="auto"/>
        <w:ind w:left="510" w:right="473"/>
        <w:jc w:val="both"/>
      </w:pPr>
      <w:r>
        <w:rPr>
          <w:color w:val="231F20"/>
        </w:rPr>
        <w:t>The Management Board conducts the affairs of the Company and represents it before other entities, fulfilling its duties with care required in business transactions, in strict compliance with the provisions of law and the provisions of the Company’s Articles of Association and regulations in force at the Company. Competences of the Management Board include all matters not reserved to the decision of the General Meeting of the Company or the Supervisory Board. Resolutions of the Management Board are adopted by an absolute majority of votes. In the event of equal votes when adopting resolutions at the meetings of the Management Board of the Company, the President of the Management Board of the Company has the casting vote. The Management Board of the Company does not have the power to make a decision on the issue or redemption of the Company’s shares.</w:t>
      </w:r>
    </w:p>
    <w:p w14:paraId="4917CA1A" w14:textId="77777777" w:rsidR="00E1198C" w:rsidRDefault="00E1198C">
      <w:pPr>
        <w:pStyle w:val="Tekstpodstawowy"/>
        <w:spacing w:before="25"/>
      </w:pPr>
    </w:p>
    <w:p w14:paraId="4DA1E217" w14:textId="520DC31E" w:rsidR="00E1198C" w:rsidRPr="00122FB9" w:rsidRDefault="00000000" w:rsidP="00122FB9">
      <w:pPr>
        <w:pStyle w:val="Akapitzlist"/>
        <w:numPr>
          <w:ilvl w:val="1"/>
          <w:numId w:val="43"/>
        </w:numPr>
        <w:tabs>
          <w:tab w:val="left" w:pos="1088"/>
        </w:tabs>
        <w:ind w:hanging="578"/>
        <w:rPr>
          <w:sz w:val="18"/>
        </w:rPr>
      </w:pPr>
      <w:r>
        <w:rPr>
          <w:color w:val="F07D00"/>
          <w:sz w:val="18"/>
        </w:rPr>
        <w:t>Supervisory Board of Celon Pharma S.A.</w:t>
      </w:r>
    </w:p>
    <w:p w14:paraId="566B6E23" w14:textId="77777777" w:rsidR="00E1198C" w:rsidRDefault="00000000">
      <w:pPr>
        <w:pStyle w:val="Akapitzlist"/>
        <w:numPr>
          <w:ilvl w:val="2"/>
          <w:numId w:val="43"/>
        </w:numPr>
        <w:tabs>
          <w:tab w:val="left" w:pos="1229"/>
        </w:tabs>
        <w:ind w:left="1229" w:hanging="719"/>
        <w:rPr>
          <w:sz w:val="18"/>
        </w:rPr>
      </w:pPr>
      <w:r>
        <w:rPr>
          <w:color w:val="F07D00"/>
          <w:sz w:val="18"/>
        </w:rPr>
        <w:t xml:space="preserve">Members of the Board </w:t>
      </w:r>
    </w:p>
    <w:p w14:paraId="5D108C8A" w14:textId="77777777" w:rsidR="00E1198C" w:rsidRDefault="00000000">
      <w:pPr>
        <w:pStyle w:val="Tekstpodstawowy"/>
        <w:spacing w:before="1"/>
        <w:ind w:left="510"/>
        <w:jc w:val="both"/>
      </w:pPr>
      <w:r>
        <w:rPr>
          <w:color w:val="231F20"/>
        </w:rPr>
        <w:t>In 2024 and until the date of publication of this report, the composition of the Supervisory Board of Celon Pharma S.A. was unchanged and was as follows:</w:t>
      </w:r>
    </w:p>
    <w:p w14:paraId="5EEC8025" w14:textId="77777777" w:rsidR="00E1198C" w:rsidRDefault="00E1198C">
      <w:pPr>
        <w:jc w:val="both"/>
        <w:sectPr w:rsidR="00E1198C">
          <w:pgSz w:w="11900" w:h="16840"/>
          <w:pgMar w:top="820" w:right="320" w:bottom="920" w:left="300" w:header="0" w:footer="726" w:gutter="0"/>
          <w:cols w:space="708"/>
        </w:sectPr>
      </w:pPr>
    </w:p>
    <w:p w14:paraId="31FCE881" w14:textId="77777777" w:rsidR="00E1198C" w:rsidRDefault="00000000">
      <w:pPr>
        <w:pStyle w:val="Tekstpodstawowy"/>
        <w:ind w:left="544"/>
        <w:rPr>
          <w:sz w:val="20"/>
        </w:rPr>
      </w:pPr>
      <w:r>
        <w:rPr>
          <w:noProof/>
          <w:sz w:val="20"/>
        </w:rPr>
        <w:lastRenderedPageBreak/>
        <mc:AlternateContent>
          <mc:Choice Requires="wpg">
            <w:drawing>
              <wp:inline distT="0" distB="0" distL="0" distR="0" wp14:anchorId="28E18440" wp14:editId="176ABEE9">
                <wp:extent cx="6474211" cy="1622125"/>
                <wp:effectExtent l="0" t="0" r="3175" b="0"/>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74211" cy="1622125"/>
                          <a:chOff x="0" y="0"/>
                          <a:chExt cx="6474211" cy="1622125"/>
                        </a:xfrm>
                      </wpg:grpSpPr>
                      <pic:pic xmlns:pic="http://schemas.openxmlformats.org/drawingml/2006/picture">
                        <pic:nvPicPr>
                          <pic:cNvPr id="58" name="Image 58"/>
                          <pic:cNvPicPr/>
                        </pic:nvPicPr>
                        <pic:blipFill>
                          <a:blip r:embed="rId17" cstate="print"/>
                          <a:stretch>
                            <a:fillRect/>
                          </a:stretch>
                        </pic:blipFill>
                        <pic:spPr>
                          <a:xfrm>
                            <a:off x="0" y="0"/>
                            <a:ext cx="6474211" cy="1622125"/>
                          </a:xfrm>
                          <a:prstGeom prst="rect">
                            <a:avLst/>
                          </a:prstGeom>
                        </pic:spPr>
                      </pic:pic>
                      <wps:wsp>
                        <wps:cNvPr id="59" name="Textbox 59"/>
                        <wps:cNvSpPr txBox="1"/>
                        <wps:spPr>
                          <a:xfrm>
                            <a:off x="1472061" y="92877"/>
                            <a:ext cx="712470" cy="114935"/>
                          </a:xfrm>
                          <a:prstGeom prst="rect">
                            <a:avLst/>
                          </a:prstGeom>
                        </wps:spPr>
                        <wps:txbx>
                          <w:txbxContent>
                            <w:p w14:paraId="7DBE2022" w14:textId="77777777" w:rsidR="00E1198C" w:rsidRDefault="00000000">
                              <w:pPr>
                                <w:spacing w:line="181" w:lineRule="exact"/>
                                <w:rPr>
                                  <w:sz w:val="18"/>
                                </w:rPr>
                              </w:pPr>
                              <w:r>
                                <w:rPr>
                                  <w:color w:val="FFFFFF"/>
                                  <w:sz w:val="18"/>
                                </w:rPr>
                                <w:t>First and last name</w:t>
                              </w:r>
                            </w:p>
                          </w:txbxContent>
                        </wps:txbx>
                        <wps:bodyPr wrap="square" lIns="0" tIns="0" rIns="0" bIns="0" rtlCol="0">
                          <a:noAutofit/>
                        </wps:bodyPr>
                      </wps:wsp>
                      <wps:wsp>
                        <wps:cNvPr id="60" name="Textbox 60"/>
                        <wps:cNvSpPr txBox="1"/>
                        <wps:spPr>
                          <a:xfrm>
                            <a:off x="4673437" y="92877"/>
                            <a:ext cx="772160" cy="114935"/>
                          </a:xfrm>
                          <a:prstGeom prst="rect">
                            <a:avLst/>
                          </a:prstGeom>
                        </wps:spPr>
                        <wps:txbx>
                          <w:txbxContent>
                            <w:p w14:paraId="16FB3F0B" w14:textId="77777777" w:rsidR="00E1198C" w:rsidRDefault="00000000">
                              <w:pPr>
                                <w:spacing w:line="181" w:lineRule="exact"/>
                                <w:rPr>
                                  <w:sz w:val="18"/>
                                </w:rPr>
                              </w:pPr>
                              <w:r>
                                <w:rPr>
                                  <w:color w:val="FFFFFF"/>
                                  <w:sz w:val="18"/>
                                </w:rPr>
                                <w:t>Position held</w:t>
                              </w:r>
                            </w:p>
                          </w:txbxContent>
                        </wps:txbx>
                        <wps:bodyPr wrap="square" lIns="0" tIns="0" rIns="0" bIns="0" rtlCol="0">
                          <a:noAutofit/>
                        </wps:bodyPr>
                      </wps:wsp>
                      <wps:wsp>
                        <wps:cNvPr id="61" name="Textbox 61"/>
                        <wps:cNvSpPr txBox="1"/>
                        <wps:spPr>
                          <a:xfrm>
                            <a:off x="1414893" y="378723"/>
                            <a:ext cx="811530" cy="114935"/>
                          </a:xfrm>
                          <a:prstGeom prst="rect">
                            <a:avLst/>
                          </a:prstGeom>
                        </wps:spPr>
                        <wps:txbx>
                          <w:txbxContent>
                            <w:p w14:paraId="1D8611C7" w14:textId="77777777" w:rsidR="00E1198C" w:rsidRDefault="00000000">
                              <w:pPr>
                                <w:spacing w:line="181" w:lineRule="exact"/>
                                <w:rPr>
                                  <w:sz w:val="18"/>
                                </w:rPr>
                              </w:pPr>
                              <w:r>
                                <w:rPr>
                                  <w:color w:val="231F20"/>
                                  <w:sz w:val="18"/>
                                </w:rPr>
                                <w:t>Robert Rzemiński</w:t>
                              </w:r>
                            </w:p>
                          </w:txbxContent>
                        </wps:txbx>
                        <wps:bodyPr wrap="square" lIns="0" tIns="0" rIns="0" bIns="0" rtlCol="0">
                          <a:noAutofit/>
                        </wps:bodyPr>
                      </wps:wsp>
                      <wps:wsp>
                        <wps:cNvPr id="62" name="Textbox 62"/>
                        <wps:cNvSpPr txBox="1"/>
                        <wps:spPr>
                          <a:xfrm>
                            <a:off x="4019500" y="378644"/>
                            <a:ext cx="1919574" cy="155509"/>
                          </a:xfrm>
                          <a:prstGeom prst="rect">
                            <a:avLst/>
                          </a:prstGeom>
                        </wps:spPr>
                        <wps:txbx>
                          <w:txbxContent>
                            <w:p w14:paraId="21F43830" w14:textId="77777777" w:rsidR="00E1198C" w:rsidRDefault="00000000">
                              <w:pPr>
                                <w:spacing w:line="181" w:lineRule="exact"/>
                                <w:rPr>
                                  <w:sz w:val="18"/>
                                </w:rPr>
                              </w:pPr>
                              <w:r>
                                <w:rPr>
                                  <w:color w:val="231F20"/>
                                  <w:sz w:val="18"/>
                                </w:rPr>
                                <w:t>Chairman of the Supervisory Board</w:t>
                              </w:r>
                            </w:p>
                          </w:txbxContent>
                        </wps:txbx>
                        <wps:bodyPr wrap="square" lIns="0" tIns="0" rIns="0" bIns="0" rtlCol="0">
                          <a:noAutofit/>
                        </wps:bodyPr>
                      </wps:wsp>
                      <wps:wsp>
                        <wps:cNvPr id="63" name="Textbox 63"/>
                        <wps:cNvSpPr txBox="1"/>
                        <wps:spPr>
                          <a:xfrm>
                            <a:off x="1300559" y="650280"/>
                            <a:ext cx="1036319" cy="114935"/>
                          </a:xfrm>
                          <a:prstGeom prst="rect">
                            <a:avLst/>
                          </a:prstGeom>
                        </wps:spPr>
                        <wps:txbx>
                          <w:txbxContent>
                            <w:p w14:paraId="260B8FA5" w14:textId="77777777" w:rsidR="00E1198C" w:rsidRDefault="00000000">
                              <w:pPr>
                                <w:spacing w:line="181" w:lineRule="exact"/>
                                <w:rPr>
                                  <w:sz w:val="18"/>
                                </w:rPr>
                              </w:pPr>
                              <w:r>
                                <w:rPr>
                                  <w:color w:val="231F20"/>
                                  <w:sz w:val="18"/>
                                </w:rPr>
                                <w:t>Krzysztof Kaczmarczyk</w:t>
                              </w:r>
                            </w:p>
                          </w:txbxContent>
                        </wps:txbx>
                        <wps:bodyPr wrap="square" lIns="0" tIns="0" rIns="0" bIns="0" rtlCol="0">
                          <a:noAutofit/>
                        </wps:bodyPr>
                      </wps:wsp>
                      <wps:wsp>
                        <wps:cNvPr id="64" name="Textbox 64"/>
                        <wps:cNvSpPr txBox="1"/>
                        <wps:spPr>
                          <a:xfrm>
                            <a:off x="4001393" y="650012"/>
                            <a:ext cx="1720398" cy="146693"/>
                          </a:xfrm>
                          <a:prstGeom prst="rect">
                            <a:avLst/>
                          </a:prstGeom>
                        </wps:spPr>
                        <wps:txbx>
                          <w:txbxContent>
                            <w:p w14:paraId="1FBA6CD6" w14:textId="77777777" w:rsidR="00E1198C" w:rsidRDefault="00000000">
                              <w:pPr>
                                <w:spacing w:line="181" w:lineRule="exact"/>
                                <w:rPr>
                                  <w:sz w:val="18"/>
                                </w:rPr>
                              </w:pPr>
                              <w:r>
                                <w:rPr>
                                  <w:color w:val="231F20"/>
                                  <w:sz w:val="18"/>
                                </w:rPr>
                                <w:t>Member of the Supervisory Board</w:t>
                              </w:r>
                            </w:p>
                          </w:txbxContent>
                        </wps:txbx>
                        <wps:bodyPr wrap="square" lIns="0" tIns="0" rIns="0" bIns="0" rtlCol="0">
                          <a:noAutofit/>
                        </wps:bodyPr>
                      </wps:wsp>
                      <wps:wsp>
                        <wps:cNvPr id="65" name="Textbox 65"/>
                        <wps:cNvSpPr txBox="1"/>
                        <wps:spPr>
                          <a:xfrm>
                            <a:off x="1393456" y="907527"/>
                            <a:ext cx="864235" cy="114935"/>
                          </a:xfrm>
                          <a:prstGeom prst="rect">
                            <a:avLst/>
                          </a:prstGeom>
                        </wps:spPr>
                        <wps:txbx>
                          <w:txbxContent>
                            <w:p w14:paraId="4226EB2F" w14:textId="77777777" w:rsidR="00E1198C" w:rsidRDefault="00000000">
                              <w:pPr>
                                <w:spacing w:line="181" w:lineRule="exact"/>
                                <w:rPr>
                                  <w:sz w:val="18"/>
                                </w:rPr>
                              </w:pPr>
                              <w:r>
                                <w:rPr>
                                  <w:color w:val="231F20"/>
                                  <w:sz w:val="18"/>
                                </w:rPr>
                                <w:t>Urszula Wieczorek</w:t>
                              </w:r>
                            </w:p>
                          </w:txbxContent>
                        </wps:txbx>
                        <wps:bodyPr wrap="square" lIns="0" tIns="0" rIns="0" bIns="0" rtlCol="0">
                          <a:noAutofit/>
                        </wps:bodyPr>
                      </wps:wsp>
                      <wps:wsp>
                        <wps:cNvPr id="66" name="Textbox 66"/>
                        <wps:cNvSpPr txBox="1"/>
                        <wps:spPr>
                          <a:xfrm>
                            <a:off x="3974472" y="907340"/>
                            <a:ext cx="1666644" cy="142862"/>
                          </a:xfrm>
                          <a:prstGeom prst="rect">
                            <a:avLst/>
                          </a:prstGeom>
                        </wps:spPr>
                        <wps:txbx>
                          <w:txbxContent>
                            <w:p w14:paraId="65BF8025" w14:textId="77777777" w:rsidR="00E1198C" w:rsidRDefault="00000000">
                              <w:pPr>
                                <w:spacing w:line="181" w:lineRule="exact"/>
                                <w:rPr>
                                  <w:sz w:val="18"/>
                                </w:rPr>
                              </w:pPr>
                              <w:r>
                                <w:rPr>
                                  <w:color w:val="231F20"/>
                                  <w:sz w:val="18"/>
                                </w:rPr>
                                <w:t>Member of the Supervisory Board</w:t>
                              </w:r>
                            </w:p>
                          </w:txbxContent>
                        </wps:txbx>
                        <wps:bodyPr wrap="square" lIns="0" tIns="0" rIns="0" bIns="0" rtlCol="0">
                          <a:noAutofit/>
                        </wps:bodyPr>
                      </wps:wsp>
                      <wps:wsp>
                        <wps:cNvPr id="67" name="Textbox 67"/>
                        <wps:cNvSpPr txBox="1"/>
                        <wps:spPr>
                          <a:xfrm>
                            <a:off x="1379081" y="1178818"/>
                            <a:ext cx="1047247" cy="170148"/>
                          </a:xfrm>
                          <a:prstGeom prst="rect">
                            <a:avLst/>
                          </a:prstGeom>
                        </wps:spPr>
                        <wps:txbx>
                          <w:txbxContent>
                            <w:p w14:paraId="72B0B508" w14:textId="77777777" w:rsidR="00E1198C" w:rsidRDefault="00000000">
                              <w:pPr>
                                <w:spacing w:line="181" w:lineRule="exact"/>
                                <w:rPr>
                                  <w:sz w:val="18"/>
                                </w:rPr>
                              </w:pPr>
                              <w:r>
                                <w:rPr>
                                  <w:color w:val="231F20"/>
                                  <w:sz w:val="18"/>
                                </w:rPr>
                                <w:t>Bogusław Galewski</w:t>
                              </w:r>
                            </w:p>
                          </w:txbxContent>
                        </wps:txbx>
                        <wps:bodyPr wrap="square" lIns="0" tIns="0" rIns="0" bIns="0" rtlCol="0">
                          <a:noAutofit/>
                        </wps:bodyPr>
                      </wps:wsp>
                      <wps:wsp>
                        <wps:cNvPr id="68" name="Textbox 68"/>
                        <wps:cNvSpPr txBox="1"/>
                        <wps:spPr>
                          <a:xfrm>
                            <a:off x="3974235" y="1178818"/>
                            <a:ext cx="1664703" cy="142988"/>
                          </a:xfrm>
                          <a:prstGeom prst="rect">
                            <a:avLst/>
                          </a:prstGeom>
                        </wps:spPr>
                        <wps:txbx>
                          <w:txbxContent>
                            <w:p w14:paraId="13B85B22" w14:textId="77777777" w:rsidR="00E1198C" w:rsidRDefault="00000000">
                              <w:pPr>
                                <w:spacing w:line="181" w:lineRule="exact"/>
                                <w:rPr>
                                  <w:sz w:val="18"/>
                                </w:rPr>
                              </w:pPr>
                              <w:r>
                                <w:rPr>
                                  <w:color w:val="231F20"/>
                                  <w:sz w:val="18"/>
                                </w:rPr>
                                <w:t>Member of the Supervisory Board</w:t>
                              </w:r>
                            </w:p>
                          </w:txbxContent>
                        </wps:txbx>
                        <wps:bodyPr wrap="square" lIns="0" tIns="0" rIns="0" bIns="0" rtlCol="0">
                          <a:noAutofit/>
                        </wps:bodyPr>
                      </wps:wsp>
                      <wps:wsp>
                        <wps:cNvPr id="69" name="Textbox 69"/>
                        <wps:cNvSpPr txBox="1"/>
                        <wps:spPr>
                          <a:xfrm>
                            <a:off x="1436331" y="1450595"/>
                            <a:ext cx="763270" cy="114935"/>
                          </a:xfrm>
                          <a:prstGeom prst="rect">
                            <a:avLst/>
                          </a:prstGeom>
                        </wps:spPr>
                        <wps:txbx>
                          <w:txbxContent>
                            <w:p w14:paraId="14C7481D" w14:textId="77777777" w:rsidR="00E1198C" w:rsidRDefault="00000000">
                              <w:pPr>
                                <w:spacing w:line="181" w:lineRule="exact"/>
                                <w:rPr>
                                  <w:sz w:val="18"/>
                                </w:rPr>
                              </w:pPr>
                              <w:r>
                                <w:rPr>
                                  <w:color w:val="231F20"/>
                                  <w:sz w:val="18"/>
                                </w:rPr>
                                <w:t>Artur Wieczorek</w:t>
                              </w:r>
                            </w:p>
                          </w:txbxContent>
                        </wps:txbx>
                        <wps:bodyPr wrap="square" lIns="0" tIns="0" rIns="0" bIns="0" rtlCol="0">
                          <a:noAutofit/>
                        </wps:bodyPr>
                      </wps:wsp>
                      <wps:wsp>
                        <wps:cNvPr id="70" name="Textbox 70"/>
                        <wps:cNvSpPr txBox="1"/>
                        <wps:spPr>
                          <a:xfrm>
                            <a:off x="3956365" y="1450295"/>
                            <a:ext cx="1676705" cy="125008"/>
                          </a:xfrm>
                          <a:prstGeom prst="rect">
                            <a:avLst/>
                          </a:prstGeom>
                        </wps:spPr>
                        <wps:txbx>
                          <w:txbxContent>
                            <w:p w14:paraId="211363D9" w14:textId="77777777" w:rsidR="00E1198C" w:rsidRDefault="00000000">
                              <w:pPr>
                                <w:spacing w:line="181" w:lineRule="exact"/>
                                <w:rPr>
                                  <w:sz w:val="18"/>
                                </w:rPr>
                              </w:pPr>
                              <w:r>
                                <w:rPr>
                                  <w:color w:val="231F20"/>
                                  <w:sz w:val="18"/>
                                </w:rPr>
                                <w:t>Member of the Supervisory Board</w:t>
                              </w:r>
                            </w:p>
                          </w:txbxContent>
                        </wps:txbx>
                        <wps:bodyPr wrap="square" lIns="0" tIns="0" rIns="0" bIns="0" rtlCol="0">
                          <a:noAutofit/>
                        </wps:bodyPr>
                      </wps:wsp>
                    </wpg:wgp>
                  </a:graphicData>
                </a:graphic>
              </wp:inline>
            </w:drawing>
          </mc:Choice>
          <mc:Fallback>
            <w:pict>
              <v:group w14:anchorId="28E18440" id="Group 57" o:spid="_x0000_s1043" style="width:509.8pt;height:127.75pt;mso-position-horizontal-relative:char;mso-position-vertical-relative:line" coordsize="64742,162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">
                <v:shape id="Image 58" o:spid="_x0000_s1044" type="#_x0000_t75" style="position:absolute;width:64742;height:162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">
                  <v:imagedata r:id="rId18" o:title=""/>
                </v:shape>
                <v:shape id="Textbox 59" o:spid="_x0000_s1045" type="#_x0000_t202" style="position:absolute;left:14720;top:928;width:7125;height:1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Lq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Emmy6sMAAADbAAAADwAA&#10;AAAAAAAAAAAAAAAHAgAAZHJzL2Rvd25yZXYueG1sUEsFBgAAAAADAAMAtwAAAPcCAAAAAA==&#10;" filled="f" stroked="f">
                  <v:textbox inset="0,0,0,0">
                    <w:txbxContent>
                      <w:p w14:paraId="7DBE2022" w14:textId="77777777" w:rsidR="00E1198C" w:rsidRDefault="00000000">
                        <w:pPr>
                          <w:spacing w:line="181" w:lineRule="exact"/>
                          <w:rPr>
                            <w:sz w:val="18"/>
                          </w:rPr>
                        </w:pPr>
                        <w:r>
                          <w:rPr>
                            <w:color w:val="FFFFFF"/>
                            <w:sz w:val="18"/>
                          </w:rPr>
                          <w:t>First and last name</w:t>
                        </w:r>
                      </w:p>
                    </w:txbxContent>
                  </v:textbox>
                </v:shape>
                <v:shape id="Textbox 60" o:spid="_x0000_s1046" type="#_x0000_t202" style="position:absolute;left:46734;top:928;width:7721;height:1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" filled="f" stroked="f">
                  <v:textbox inset="0,0,0,0">
                    <w:txbxContent>
                      <w:p w14:paraId="16FB3F0B" w14:textId="77777777" w:rsidR="00E1198C" w:rsidRDefault="00000000">
                        <w:pPr>
                          <w:spacing w:line="181" w:lineRule="exact"/>
                          <w:rPr>
                            <w:sz w:val="18"/>
                          </w:rPr>
                        </w:pPr>
                        <w:r>
                          <w:rPr>
                            <w:color w:val="FFFFFF"/>
                            <w:sz w:val="18"/>
                          </w:rPr>
                          <w:t>Position held</w:t>
                        </w:r>
                      </w:p>
                    </w:txbxContent>
                  </v:textbox>
                </v:shape>
                <v:shape id="Textbox 61" o:spid="_x0000_s1047" type="#_x0000_t202" style="position:absolute;left:14148;top:3787;width:8116;height:1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" filled="f" stroked="f">
                  <v:textbox inset="0,0,0,0">
                    <w:txbxContent>
                      <w:p w14:paraId="1D8611C7" w14:textId="77777777" w:rsidR="00E1198C" w:rsidRDefault="00000000">
                        <w:pPr>
                          <w:spacing w:line="181" w:lineRule="exact"/>
                          <w:rPr>
                            <w:sz w:val="18"/>
                          </w:rPr>
                        </w:pPr>
                        <w:r>
                          <w:rPr>
                            <w:color w:val="231F20"/>
                            <w:sz w:val="18"/>
                          </w:rPr>
                          <w:t>Robert Rzemiński</w:t>
                        </w:r>
                      </w:p>
                    </w:txbxContent>
                  </v:textbox>
                </v:shape>
                <v:shape id="Textbox 62" o:spid="_x0000_s1048" type="#_x0000_t202" style="position:absolute;left:40195;top:3786;width:19195;height:1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" filled="f" stroked="f">
                  <v:textbox inset="0,0,0,0">
                    <w:txbxContent>
                      <w:p w14:paraId="21F43830" w14:textId="77777777" w:rsidR="00E1198C" w:rsidRDefault="00000000">
                        <w:pPr>
                          <w:spacing w:line="181" w:lineRule="exact"/>
                          <w:rPr>
                            <w:sz w:val="18"/>
                          </w:rPr>
                        </w:pPr>
                        <w:r>
                          <w:rPr>
                            <w:color w:val="231F20"/>
                            <w:sz w:val="18"/>
                          </w:rPr>
                          <w:t>Chairman of the Supervisory Board</w:t>
                        </w:r>
                      </w:p>
                    </w:txbxContent>
                  </v:textbox>
                </v:shape>
                <v:shape id="Textbox 63" o:spid="_x0000_s1049" type="#_x0000_t202" style="position:absolute;left:13005;top:6502;width:10363;height:1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U+9xAAAANsAAAAPAAAAZHJzL2Rvd25yZXYueG1sRI9Ba8JA&#10;FITvBf/D8oTe6sYW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L3tT73EAAAA2wAAAA8A&#10;AAAAAAAAAAAAAAAABwIAAGRycy9kb3ducmV2LnhtbFBLBQYAAAAAAwADALcAAAD4AgAAAAA=&#10;" filled="f" stroked="f">
                  <v:textbox inset="0,0,0,0">
                    <w:txbxContent>
                      <w:p w14:paraId="260B8FA5" w14:textId="77777777" w:rsidR="00E1198C" w:rsidRDefault="00000000">
                        <w:pPr>
                          <w:spacing w:line="181" w:lineRule="exact"/>
                          <w:rPr>
                            <w:sz w:val="18"/>
                          </w:rPr>
                        </w:pPr>
                        <w:r>
                          <w:rPr>
                            <w:color w:val="231F20"/>
                            <w:sz w:val="18"/>
                          </w:rPr>
                          <w:t>Krzysztof Kaczmarczyk</w:t>
                        </w:r>
                      </w:p>
                    </w:txbxContent>
                  </v:textbox>
                </v:shape>
                <v:shape id="Textbox 64" o:spid="_x0000_s1050" type="#_x0000_t202" style="position:absolute;left:40013;top:6500;width:17204;height:1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NfJxAAAANsAAAAPAAAAZHJzL2Rvd25yZXYueG1sRI9Ba8JA&#10;FITvBf/D8oTe6sZS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DIE18nEAAAA2wAAAA8A&#10;AAAAAAAAAAAAAAAABwIAAGRycy9kb3ducmV2LnhtbFBLBQYAAAAAAwADALcAAAD4AgAAAAA=&#10;" filled="f" stroked="f">
                  <v:textbox inset="0,0,0,0">
                    <w:txbxContent>
                      <w:p w14:paraId="1FBA6CD6" w14:textId="77777777" w:rsidR="00E1198C" w:rsidRDefault="00000000">
                        <w:pPr>
                          <w:spacing w:line="181" w:lineRule="exact"/>
                          <w:rPr>
                            <w:sz w:val="18"/>
                          </w:rPr>
                        </w:pPr>
                        <w:r>
                          <w:rPr>
                            <w:color w:val="231F20"/>
                            <w:sz w:val="18"/>
                          </w:rPr>
                          <w:t>Member of the Supervisory Board</w:t>
                        </w:r>
                      </w:p>
                    </w:txbxContent>
                  </v:textbox>
                </v:shape>
                <v:shape id="Textbox 65" o:spid="_x0000_s1051" type="#_x0000_t202" style="position:absolute;left:13934;top:9075;width:8642;height:1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JSxAAAANsAAAAPAAAAZHJzL2Rvd25yZXYueG1sRI9Ba8JA&#10;FITvBf/D8oTe6sZCQx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F1IclLEAAAA2wAAAA8A&#10;AAAAAAAAAAAAAAAABwIAAGRycy9kb3ducmV2LnhtbFBLBQYAAAAAAwADALcAAAD4AgAAAAA=&#10;" filled="f" stroked="f">
                  <v:textbox inset="0,0,0,0">
                    <w:txbxContent>
                      <w:p w14:paraId="4226EB2F" w14:textId="77777777" w:rsidR="00E1198C" w:rsidRDefault="00000000">
                        <w:pPr>
                          <w:spacing w:line="181" w:lineRule="exact"/>
                          <w:rPr>
                            <w:sz w:val="18"/>
                          </w:rPr>
                        </w:pPr>
                        <w:r>
                          <w:rPr>
                            <w:color w:val="231F20"/>
                            <w:sz w:val="18"/>
                          </w:rPr>
                          <w:t>Urszula Wieczorek</w:t>
                        </w:r>
                      </w:p>
                    </w:txbxContent>
                  </v:textbox>
                </v:shape>
                <v:shape id="Textbox 66" o:spid="_x0000_s1052" type="#_x0000_t202" style="position:absolute;left:39744;top:9073;width:16667;height:1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" filled="f" stroked="f">
                  <v:textbox inset="0,0,0,0">
                    <w:txbxContent>
                      <w:p w14:paraId="65BF8025" w14:textId="77777777" w:rsidR="00E1198C" w:rsidRDefault="00000000">
                        <w:pPr>
                          <w:spacing w:line="181" w:lineRule="exact"/>
                          <w:rPr>
                            <w:sz w:val="18"/>
                          </w:rPr>
                        </w:pPr>
                        <w:r>
                          <w:rPr>
                            <w:color w:val="231F20"/>
                            <w:sz w:val="18"/>
                          </w:rPr>
                          <w:t>Member of the Supervisory Board</w:t>
                        </w:r>
                      </w:p>
                    </w:txbxContent>
                  </v:textbox>
                </v:shape>
                <v:shape id="Textbox 67" o:spid="_x0000_s1053" type="#_x0000_t202" style="position:absolute;left:13790;top:11788;width:10473;height:17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" filled="f" stroked="f">
                  <v:textbox inset="0,0,0,0">
                    <w:txbxContent>
                      <w:p w14:paraId="72B0B508" w14:textId="77777777" w:rsidR="00E1198C" w:rsidRDefault="00000000">
                        <w:pPr>
                          <w:spacing w:line="181" w:lineRule="exact"/>
                          <w:rPr>
                            <w:sz w:val="18"/>
                          </w:rPr>
                        </w:pPr>
                        <w:r>
                          <w:rPr>
                            <w:color w:val="231F20"/>
                            <w:sz w:val="18"/>
                          </w:rPr>
                          <w:t>Bogusław Galewski</w:t>
                        </w:r>
                      </w:p>
                    </w:txbxContent>
                  </v:textbox>
                </v:shape>
                <v:shape id="Textbox 68" o:spid="_x0000_s1054" type="#_x0000_t202" style="position:absolute;left:39742;top:11788;width:16647;height:1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14:paraId="13B85B22" w14:textId="77777777" w:rsidR="00E1198C" w:rsidRDefault="00000000">
                        <w:pPr>
                          <w:spacing w:line="181" w:lineRule="exact"/>
                          <w:rPr>
                            <w:sz w:val="18"/>
                          </w:rPr>
                        </w:pPr>
                        <w:r>
                          <w:rPr>
                            <w:color w:val="231F20"/>
                            <w:sz w:val="18"/>
                          </w:rPr>
                          <w:t>Member of the Supervisory Board</w:t>
                        </w:r>
                      </w:p>
                    </w:txbxContent>
                  </v:textbox>
                </v:shape>
                <v:shape id="Textbox 69" o:spid="_x0000_s1055" type="#_x0000_t202" style="position:absolute;left:14363;top:14505;width:7633;height:1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" filled="f" stroked="f">
                  <v:textbox inset="0,0,0,0">
                    <w:txbxContent>
                      <w:p w14:paraId="14C7481D" w14:textId="77777777" w:rsidR="00E1198C" w:rsidRDefault="00000000">
                        <w:pPr>
                          <w:spacing w:line="181" w:lineRule="exact"/>
                          <w:rPr>
                            <w:sz w:val="18"/>
                          </w:rPr>
                        </w:pPr>
                        <w:r>
                          <w:rPr>
                            <w:color w:val="231F20"/>
                            <w:sz w:val="18"/>
                          </w:rPr>
                          <w:t>Artur Wieczorek</w:t>
                        </w:r>
                      </w:p>
                    </w:txbxContent>
                  </v:textbox>
                </v:shape>
                <v:shape id="Textbox 70" o:spid="_x0000_s1056" type="#_x0000_t202" style="position:absolute;left:39563;top:14502;width:16767;height:1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" filled="f" stroked="f">
                  <v:textbox inset="0,0,0,0">
                    <w:txbxContent>
                      <w:p w14:paraId="211363D9" w14:textId="77777777" w:rsidR="00E1198C" w:rsidRDefault="00000000">
                        <w:pPr>
                          <w:spacing w:line="181" w:lineRule="exact"/>
                          <w:rPr>
                            <w:sz w:val="18"/>
                          </w:rPr>
                        </w:pPr>
                        <w:r>
                          <w:rPr>
                            <w:color w:val="231F20"/>
                            <w:sz w:val="18"/>
                          </w:rPr>
                          <w:t>Member of the Supervisory Board</w:t>
                        </w:r>
                      </w:p>
                    </w:txbxContent>
                  </v:textbox>
                </v:shape>
                <w10:anchorlock/>
              </v:group>
            </w:pict>
          </mc:Fallback>
        </mc:AlternateContent>
      </w:r>
    </w:p>
    <w:p w14:paraId="4E706744" w14:textId="77777777" w:rsidR="00E1198C" w:rsidRDefault="00E1198C">
      <w:pPr>
        <w:pStyle w:val="Tekstpodstawowy"/>
        <w:spacing w:before="135"/>
      </w:pPr>
    </w:p>
    <w:p w14:paraId="493683B4" w14:textId="77777777" w:rsidR="00E1198C" w:rsidRDefault="00000000">
      <w:pPr>
        <w:pStyle w:val="Akapitzlist"/>
        <w:numPr>
          <w:ilvl w:val="2"/>
          <w:numId w:val="43"/>
        </w:numPr>
        <w:tabs>
          <w:tab w:val="left" w:pos="1229"/>
        </w:tabs>
        <w:ind w:left="1229" w:hanging="719"/>
        <w:rPr>
          <w:sz w:val="18"/>
        </w:rPr>
      </w:pPr>
      <w:r>
        <w:rPr>
          <w:color w:val="F07D00"/>
          <w:sz w:val="18"/>
        </w:rPr>
        <w:t>Principles of appointing and dismissing Members</w:t>
      </w:r>
      <w:r>
        <w:rPr>
          <w:color w:val="F07D00"/>
          <w:sz w:val="18"/>
        </w:rPr>
        <w:tab/>
      </w:r>
    </w:p>
    <w:p w14:paraId="4B676EBA" w14:textId="77777777" w:rsidR="00E1198C" w:rsidRDefault="00E1198C">
      <w:pPr>
        <w:pStyle w:val="Tekstpodstawowy"/>
        <w:spacing w:before="44"/>
      </w:pPr>
    </w:p>
    <w:p w14:paraId="5A0FA358" w14:textId="77777777" w:rsidR="00E1198C" w:rsidRDefault="00000000">
      <w:pPr>
        <w:pStyle w:val="Tekstpodstawowy"/>
        <w:spacing w:line="278" w:lineRule="auto"/>
        <w:ind w:left="510" w:right="479"/>
        <w:jc w:val="both"/>
      </w:pPr>
      <w:r>
        <w:rPr>
          <w:color w:val="231F20"/>
        </w:rPr>
        <w:t>The Supervisory Board shall consist of at least five members, including the Chairman. The appointment and dismissal of members of the Supervisory Board and the determination of the number of members of the Supervisory Board are the tasks of the General Meeting. The shareholder who holds the largest number of registered shares shall have the personal right to appoint and dismiss the Chairman of the Supervisory Board from among the members of the Supervisory Board.</w:t>
      </w:r>
    </w:p>
    <w:p w14:paraId="24FA55A4" w14:textId="77777777" w:rsidR="00E1198C" w:rsidRDefault="00000000">
      <w:pPr>
        <w:pStyle w:val="Tekstpodstawowy"/>
        <w:spacing w:before="117" w:line="273" w:lineRule="auto"/>
        <w:ind w:left="510" w:right="478"/>
        <w:jc w:val="both"/>
      </w:pPr>
      <w:r>
        <w:rPr>
          <w:color w:val="231F20"/>
        </w:rPr>
        <w:t>Members of the Supervisory Board of the Company are appointed for a joint, 3-year term of office. The Articles of Association of the Company do not specify that the term of office is calculated differently than in full financial years. The Ordinary General Meeting of the Company, held on June 22, 2023, adopted a resolution on the appointment of Members of the Supervisory Board for the next term of office beginning on January 1, 2024. The current term of office of the Supervisory Board will end on December 31, 2026.</w:t>
      </w:r>
    </w:p>
    <w:p w14:paraId="32B432EB" w14:textId="77777777" w:rsidR="00E1198C" w:rsidRDefault="00E1198C">
      <w:pPr>
        <w:pStyle w:val="Tekstpodstawowy"/>
        <w:spacing w:before="151"/>
      </w:pPr>
    </w:p>
    <w:p w14:paraId="46124001" w14:textId="77067A6B" w:rsidR="00E1198C" w:rsidRDefault="00000000">
      <w:pPr>
        <w:pStyle w:val="Akapitzlist"/>
        <w:numPr>
          <w:ilvl w:val="2"/>
          <w:numId w:val="43"/>
        </w:numPr>
        <w:tabs>
          <w:tab w:val="left" w:pos="1229"/>
        </w:tabs>
        <w:spacing w:before="1"/>
        <w:ind w:left="1229" w:hanging="719"/>
        <w:rPr>
          <w:sz w:val="18"/>
        </w:rPr>
      </w:pPr>
      <w:r>
        <w:rPr>
          <w:color w:val="F07D00"/>
          <w:sz w:val="18"/>
        </w:rPr>
        <w:t>Description of operations and powers of the body</w:t>
      </w:r>
    </w:p>
    <w:p w14:paraId="452E5003" w14:textId="77777777" w:rsidR="00E1198C" w:rsidRDefault="00E1198C">
      <w:pPr>
        <w:pStyle w:val="Tekstpodstawowy"/>
        <w:spacing w:before="44"/>
      </w:pPr>
    </w:p>
    <w:p w14:paraId="1CC06147" w14:textId="77777777" w:rsidR="00E1198C" w:rsidRDefault="00000000">
      <w:pPr>
        <w:pStyle w:val="Tekstpodstawowy"/>
        <w:spacing w:line="278" w:lineRule="auto"/>
        <w:ind w:left="510" w:right="476"/>
        <w:jc w:val="both"/>
      </w:pPr>
      <w:r>
        <w:rPr>
          <w:color w:val="231F20"/>
        </w:rPr>
        <w:t>The Supervisory Board exercises constant supervision over the Company’s activities. The competences of the Supervisory Board are defined in the Articles of Association of the Company and the Commercial Companies Code, as well as other applicable regulations. The Supervisory Board performs its duties collectively, however it may delegate one or more of its members to perform individual supervisory activities. The Supervisory Board has the right to demand the Management Board of the Company to provide the necessary information, documents or expert opinions on matters subject to its supervision and control.</w:t>
      </w:r>
    </w:p>
    <w:p w14:paraId="1B60A0A2" w14:textId="77777777" w:rsidR="00E1198C" w:rsidRDefault="00000000">
      <w:pPr>
        <w:pStyle w:val="Tekstpodstawowy"/>
        <w:spacing w:before="196" w:line="283" w:lineRule="auto"/>
        <w:ind w:left="510" w:right="472"/>
      </w:pPr>
      <w:r>
        <w:rPr>
          <w:color w:val="231F20"/>
        </w:rPr>
        <w:t>The duties of the Supervisory Board, in addition to those provided for by mandatory provisions of the Commercial Companies Code, include adopting resolutions on the following matters:</w:t>
      </w:r>
    </w:p>
    <w:p w14:paraId="64FF3766" w14:textId="77777777" w:rsidR="00E1198C" w:rsidRDefault="00000000" w:rsidP="00122FB9">
      <w:pPr>
        <w:pStyle w:val="Akapitzlist"/>
        <w:numPr>
          <w:ilvl w:val="0"/>
          <w:numId w:val="28"/>
        </w:numPr>
        <w:tabs>
          <w:tab w:val="left" w:pos="1545"/>
        </w:tabs>
        <w:ind w:right="478" w:hanging="237"/>
        <w:rPr>
          <w:sz w:val="18"/>
        </w:rPr>
      </w:pPr>
      <w:r>
        <w:rPr>
          <w:color w:val="231F20"/>
          <w:sz w:val="18"/>
        </w:rPr>
        <w:t>establishment of liquidators of the Company other than Members of the Management Board, dismissal of liquidators, any decisions intended for liquidators of the Company,</w:t>
      </w:r>
    </w:p>
    <w:p w14:paraId="2DFD2803" w14:textId="77777777" w:rsidR="00E1198C" w:rsidRDefault="00000000" w:rsidP="00122FB9">
      <w:pPr>
        <w:pStyle w:val="Akapitzlist"/>
        <w:numPr>
          <w:ilvl w:val="0"/>
          <w:numId w:val="28"/>
        </w:numPr>
        <w:tabs>
          <w:tab w:val="left" w:pos="1553"/>
        </w:tabs>
        <w:ind w:left="1553" w:hanging="244"/>
        <w:rPr>
          <w:sz w:val="18"/>
        </w:rPr>
      </w:pPr>
      <w:r>
        <w:rPr>
          <w:color w:val="231F20"/>
          <w:sz w:val="18"/>
        </w:rPr>
        <w:t>determining the terms of the management contract,</w:t>
      </w:r>
    </w:p>
    <w:p w14:paraId="63F4BA67" w14:textId="77777777" w:rsidR="00E1198C" w:rsidRDefault="00000000" w:rsidP="00122FB9">
      <w:pPr>
        <w:pStyle w:val="Akapitzlist"/>
        <w:numPr>
          <w:ilvl w:val="0"/>
          <w:numId w:val="28"/>
        </w:numPr>
        <w:tabs>
          <w:tab w:val="left" w:pos="1545"/>
          <w:tab w:val="left" w:pos="1547"/>
        </w:tabs>
        <w:ind w:right="482" w:hanging="237"/>
        <w:rPr>
          <w:sz w:val="18"/>
        </w:rPr>
      </w:pPr>
      <w:r>
        <w:rPr>
          <w:color w:val="231F20"/>
          <w:sz w:val="18"/>
        </w:rPr>
        <w:t>suspending, for important reasons individual or all members of the Management Board, as well as delegating members of the Supervisory Board to temporarily perform the duties of members of the Management Board who cannot perform their duties,</w:t>
      </w:r>
    </w:p>
    <w:p w14:paraId="3E9FEDEA" w14:textId="77777777" w:rsidR="00E1198C" w:rsidRDefault="00000000" w:rsidP="00122FB9">
      <w:pPr>
        <w:pStyle w:val="Akapitzlist"/>
        <w:numPr>
          <w:ilvl w:val="0"/>
          <w:numId w:val="28"/>
        </w:numPr>
        <w:tabs>
          <w:tab w:val="left" w:pos="1639"/>
        </w:tabs>
        <w:ind w:left="1639" w:hanging="330"/>
        <w:rPr>
          <w:sz w:val="18"/>
        </w:rPr>
      </w:pPr>
      <w:r>
        <w:rPr>
          <w:color w:val="231F20"/>
          <w:sz w:val="18"/>
        </w:rPr>
        <w:t>determining the principles of remuneration of the Members of the Management Board of the Company,</w:t>
      </w:r>
    </w:p>
    <w:p w14:paraId="18770473" w14:textId="77777777" w:rsidR="00E1198C" w:rsidRDefault="00000000" w:rsidP="00122FB9">
      <w:pPr>
        <w:pStyle w:val="Akapitzlist"/>
        <w:numPr>
          <w:ilvl w:val="0"/>
          <w:numId w:val="28"/>
        </w:numPr>
        <w:tabs>
          <w:tab w:val="left" w:pos="1639"/>
        </w:tabs>
        <w:ind w:left="1639" w:hanging="330"/>
        <w:rPr>
          <w:sz w:val="18"/>
        </w:rPr>
      </w:pPr>
      <w:r>
        <w:rPr>
          <w:color w:val="231F20"/>
          <w:sz w:val="18"/>
        </w:rPr>
        <w:t>appointing and dismissing Members of the Management Board of the Company and determining the number of Members of the Management Board,</w:t>
      </w:r>
    </w:p>
    <w:p w14:paraId="28F26C79" w14:textId="77777777" w:rsidR="00E1198C" w:rsidRDefault="00000000" w:rsidP="00122FB9">
      <w:pPr>
        <w:pStyle w:val="Akapitzlist"/>
        <w:numPr>
          <w:ilvl w:val="0"/>
          <w:numId w:val="28"/>
        </w:numPr>
        <w:tabs>
          <w:tab w:val="left" w:pos="1640"/>
        </w:tabs>
        <w:ind w:left="1640" w:hanging="331"/>
        <w:rPr>
          <w:sz w:val="18"/>
        </w:rPr>
      </w:pPr>
      <w:r>
        <w:rPr>
          <w:color w:val="231F20"/>
          <w:sz w:val="18"/>
        </w:rPr>
        <w:t>adopting and approving the Regulations of the Company’s Management Board,</w:t>
      </w:r>
    </w:p>
    <w:p w14:paraId="77381660" w14:textId="77777777" w:rsidR="00E1198C" w:rsidRDefault="00000000" w:rsidP="00122FB9">
      <w:pPr>
        <w:pStyle w:val="Akapitzlist"/>
        <w:numPr>
          <w:ilvl w:val="0"/>
          <w:numId w:val="28"/>
        </w:numPr>
        <w:tabs>
          <w:tab w:val="left" w:pos="1545"/>
        </w:tabs>
        <w:ind w:right="479" w:hanging="237"/>
        <w:rPr>
          <w:sz w:val="18"/>
        </w:rPr>
      </w:pPr>
      <w:r>
        <w:rPr>
          <w:color w:val="231F20"/>
          <w:sz w:val="18"/>
        </w:rPr>
        <w:t>determining the consolidated text of the amended Articles of Association or introducing other editorial changes specified in the resolution of the General Meeting, as authorized by the General Meeting,</w:t>
      </w:r>
    </w:p>
    <w:p w14:paraId="3DBF5876" w14:textId="77777777" w:rsidR="00E1198C" w:rsidRDefault="00000000" w:rsidP="00122FB9">
      <w:pPr>
        <w:pStyle w:val="Akapitzlist"/>
        <w:numPr>
          <w:ilvl w:val="0"/>
          <w:numId w:val="28"/>
        </w:numPr>
        <w:tabs>
          <w:tab w:val="left" w:pos="1639"/>
        </w:tabs>
        <w:ind w:left="1639" w:hanging="330"/>
        <w:rPr>
          <w:sz w:val="18"/>
        </w:rPr>
      </w:pPr>
      <w:r>
        <w:rPr>
          <w:color w:val="231F20"/>
          <w:sz w:val="18"/>
        </w:rPr>
        <w:t>adopting the Rules of Procedure of the Supervisory Board,</w:t>
      </w:r>
    </w:p>
    <w:p w14:paraId="70B17CCF" w14:textId="77777777" w:rsidR="00E1198C" w:rsidRDefault="00000000" w:rsidP="00122FB9">
      <w:pPr>
        <w:pStyle w:val="Akapitzlist"/>
        <w:numPr>
          <w:ilvl w:val="0"/>
          <w:numId w:val="28"/>
        </w:numPr>
        <w:tabs>
          <w:tab w:val="left" w:pos="1640"/>
        </w:tabs>
        <w:ind w:left="1640" w:hanging="331"/>
        <w:rPr>
          <w:sz w:val="18"/>
        </w:rPr>
      </w:pPr>
      <w:r>
        <w:rPr>
          <w:color w:val="231F20"/>
          <w:sz w:val="18"/>
        </w:rPr>
        <w:t>selecting the auditor,</w:t>
      </w:r>
    </w:p>
    <w:p w14:paraId="640DF826" w14:textId="77777777" w:rsidR="00E1198C" w:rsidRDefault="00000000" w:rsidP="00122FB9">
      <w:pPr>
        <w:pStyle w:val="Akapitzlist"/>
        <w:numPr>
          <w:ilvl w:val="0"/>
          <w:numId w:val="28"/>
        </w:numPr>
        <w:tabs>
          <w:tab w:val="left" w:pos="1638"/>
        </w:tabs>
        <w:ind w:left="1638" w:hanging="329"/>
        <w:rPr>
          <w:sz w:val="18"/>
        </w:rPr>
      </w:pPr>
      <w:r>
        <w:rPr>
          <w:color w:val="231F20"/>
          <w:sz w:val="18"/>
        </w:rPr>
        <w:t>acquiring and disposing of real estate, perpetual usufruct or interest in real estate.</w:t>
      </w:r>
    </w:p>
    <w:p w14:paraId="06F5B9D4" w14:textId="77777777" w:rsidR="00E1198C" w:rsidRDefault="00000000">
      <w:pPr>
        <w:pStyle w:val="Tekstpodstawowy"/>
        <w:spacing w:before="152" w:line="283" w:lineRule="auto"/>
        <w:ind w:left="510" w:right="479"/>
        <w:jc w:val="both"/>
      </w:pPr>
      <w:r>
        <w:rPr>
          <w:color w:val="231F20"/>
        </w:rPr>
        <w:t>The Rules of Procedure of the Company’s Supervisory Board are available on the Company’s website at https://celonpharma.com/dokumenty- corporate/</w:t>
      </w:r>
    </w:p>
    <w:p w14:paraId="1BE69C56" w14:textId="77777777" w:rsidR="00E1198C" w:rsidRDefault="00000000">
      <w:pPr>
        <w:pStyle w:val="Tekstpodstawowy"/>
        <w:spacing w:before="111" w:line="276" w:lineRule="auto"/>
        <w:ind w:left="510" w:right="474"/>
        <w:jc w:val="both"/>
      </w:pPr>
      <w:r>
        <w:rPr>
          <w:color w:val="231F20"/>
        </w:rPr>
        <w:t>Meetings of the Supervisory Board are held as needed, however not less frequently than three times a financial year, at the Company's registered office or at any other place specified in the notice on the meeting. Meetings are convened by the Chairman on his own initiative or at the request of another member of the Supervisory Board or the Management Board. If the Chairman fails to convene the meeting at the request of another member of the Supervisory Board or the Management Board, the meeting may be convened by the person requesting the meeting. With the consent and presence of all members of the Supervisory Board, meetings of the Supervisory Board may be held without formal convening.</w:t>
      </w:r>
    </w:p>
    <w:p w14:paraId="79084A0F" w14:textId="77777777" w:rsidR="00E1198C" w:rsidRDefault="00E1198C">
      <w:pPr>
        <w:spacing w:line="276" w:lineRule="auto"/>
        <w:jc w:val="both"/>
        <w:sectPr w:rsidR="00E1198C">
          <w:pgSz w:w="11900" w:h="16840"/>
          <w:pgMar w:top="1000" w:right="320" w:bottom="920" w:left="300" w:header="0" w:footer="726" w:gutter="0"/>
          <w:cols w:space="708"/>
        </w:sectPr>
      </w:pPr>
    </w:p>
    <w:p w14:paraId="4E0E11D7" w14:textId="77777777" w:rsidR="00E1198C" w:rsidRDefault="00000000">
      <w:pPr>
        <w:pStyle w:val="Tekstpodstawowy"/>
        <w:spacing w:before="61" w:line="276" w:lineRule="auto"/>
        <w:ind w:left="510" w:right="471"/>
        <w:jc w:val="both"/>
      </w:pPr>
      <w:r>
        <w:rPr>
          <w:color w:val="231F20"/>
        </w:rPr>
        <w:lastRenderedPageBreak/>
        <w:t>The Supervisory Board is chaired by the Chairman, and in the absence of the Chairman, the Vice-Chairman, and in the absence of the Chairman and the Vice-Chairman, another member of the Supervisory Board present at the meeting. Members of the Management Board and other persons invited to the meeting of the Supervisory Board may participate in the meetings of the Supervisory Board, in particular employees of the Company and advisors or external experts.</w:t>
      </w:r>
    </w:p>
    <w:p w14:paraId="0CCF50A2" w14:textId="7FBACC4A" w:rsidR="00E1198C" w:rsidRDefault="00000000">
      <w:pPr>
        <w:pStyle w:val="Tekstpodstawowy"/>
        <w:spacing w:before="120" w:line="273" w:lineRule="auto"/>
        <w:ind w:left="510" w:right="479"/>
        <w:jc w:val="both"/>
      </w:pPr>
      <w:r>
        <w:rPr>
          <w:color w:val="231F20"/>
        </w:rPr>
        <w:t>The Supervisory Board may adopt resolutions if at least half of its members are present at the meeting, provided that all of its members have been properly invited to the meeting. In accordance with Article 388 § 1</w:t>
      </w:r>
      <w:r>
        <w:rPr>
          <w:color w:val="231F20"/>
          <w:sz w:val="12"/>
        </w:rPr>
        <w:t xml:space="preserve">1  </w:t>
      </w:r>
      <w:r>
        <w:rPr>
          <w:color w:val="231F20"/>
        </w:rPr>
        <w:t>of the Commercial Companies Code, a meeting of the Supervisory Board may also be attended by means of direct distance communication. Resolutions of the Supervisory Board shall be adopted by an absolute majority of votes. In the event of an equal number of votes, the President of the Supervisory Boar</w:t>
      </w:r>
      <w:r w:rsidR="00122FB9">
        <w:rPr>
          <w:color w:val="231F20"/>
        </w:rPr>
        <w:t>d</w:t>
      </w:r>
      <w:r>
        <w:rPr>
          <w:color w:val="231F20"/>
        </w:rPr>
        <w:t xml:space="preserve"> has the casting vote.</w:t>
      </w:r>
    </w:p>
    <w:p w14:paraId="3F7D4114" w14:textId="7BAE816B" w:rsidR="00E1198C" w:rsidRDefault="00000000" w:rsidP="00122FB9">
      <w:pPr>
        <w:pStyle w:val="Tekstpodstawowy"/>
        <w:spacing w:before="134" w:line="273" w:lineRule="auto"/>
        <w:ind w:left="510" w:right="473"/>
        <w:jc w:val="both"/>
      </w:pPr>
      <w:r>
        <w:rPr>
          <w:color w:val="231F20"/>
        </w:rPr>
        <w:t>Subject to the second sentence of Article 388 § 2 of the Commercial Companies Code, Members of the Supervisory Board may take part in adopting resolutions by casting their vote in writing through another Member of the Supervisory Board. Subject to the second sentence of Article 388 § 3 and Article 388 § 3</w:t>
      </w:r>
      <w:r>
        <w:rPr>
          <w:color w:val="231F20"/>
          <w:sz w:val="12"/>
        </w:rPr>
        <w:t xml:space="preserve">1 </w:t>
      </w:r>
      <w:r>
        <w:rPr>
          <w:color w:val="231F20"/>
        </w:rPr>
        <w:t>of the Commercial Companies Code, resolutions of the Supervisory Board may also be adopted in writing or by means of direct distance communication. In such cases, draft resolutions are presented to all members of the Supervisory Board by a Member of the Supervisory Board who proposes adopting such a resolution.</w:t>
      </w:r>
    </w:p>
    <w:p w14:paraId="4336762E" w14:textId="77777777" w:rsidR="00E1198C" w:rsidRDefault="00000000">
      <w:pPr>
        <w:pStyle w:val="Nagwek5"/>
      </w:pPr>
      <w:r>
        <w:rPr>
          <w:color w:val="F07D00"/>
        </w:rPr>
        <w:t>General Meetings in 2024</w:t>
      </w:r>
    </w:p>
    <w:p w14:paraId="1B609B5B" w14:textId="77777777" w:rsidR="00E1198C" w:rsidRDefault="00000000">
      <w:pPr>
        <w:pStyle w:val="Tekstpodstawowy"/>
        <w:spacing w:before="146"/>
        <w:ind w:left="510"/>
      </w:pPr>
      <w:r>
        <w:t>In 2024, one General Meeting of the Company was held.</w:t>
      </w:r>
    </w:p>
    <w:p w14:paraId="6434A0F6" w14:textId="77777777" w:rsidR="00E1198C" w:rsidRDefault="00000000">
      <w:pPr>
        <w:pStyle w:val="Tekstpodstawowy"/>
        <w:spacing w:before="152"/>
        <w:ind w:left="510"/>
      </w:pPr>
      <w:r>
        <w:t>The Ordinary General Meeting of the Company held on June 25, 2024 adopted resolutions, among others, regarding:</w:t>
      </w:r>
    </w:p>
    <w:p w14:paraId="520FF254" w14:textId="77777777" w:rsidR="00E1198C" w:rsidRDefault="00000000">
      <w:pPr>
        <w:pStyle w:val="Akapitzlist"/>
        <w:numPr>
          <w:ilvl w:val="0"/>
          <w:numId w:val="27"/>
        </w:numPr>
        <w:tabs>
          <w:tab w:val="left" w:pos="1590"/>
        </w:tabs>
        <w:spacing w:before="163"/>
        <w:ind w:hanging="360"/>
        <w:rPr>
          <w:sz w:val="18"/>
        </w:rPr>
      </w:pPr>
      <w:r>
        <w:rPr>
          <w:sz w:val="18"/>
        </w:rPr>
        <w:t>approval of the Management Board's Report on the Company's operations and the Company's Financial Statements for the fiscal year 2023,</w:t>
      </w:r>
    </w:p>
    <w:p w14:paraId="48D06F1C" w14:textId="77777777" w:rsidR="00E1198C" w:rsidRDefault="00000000">
      <w:pPr>
        <w:pStyle w:val="Akapitzlist"/>
        <w:numPr>
          <w:ilvl w:val="0"/>
          <w:numId w:val="27"/>
        </w:numPr>
        <w:tabs>
          <w:tab w:val="left" w:pos="1590"/>
        </w:tabs>
        <w:spacing w:before="152"/>
        <w:ind w:hanging="360"/>
        <w:rPr>
          <w:sz w:val="18"/>
        </w:rPr>
      </w:pPr>
      <w:r>
        <w:rPr>
          <w:sz w:val="18"/>
        </w:rPr>
        <w:t>approval of the Supervisory Board's Report on its activities in 2023,</w:t>
      </w:r>
    </w:p>
    <w:p w14:paraId="7F4362E7" w14:textId="77777777" w:rsidR="00E1198C" w:rsidRDefault="00000000">
      <w:pPr>
        <w:pStyle w:val="Akapitzlist"/>
        <w:numPr>
          <w:ilvl w:val="0"/>
          <w:numId w:val="27"/>
        </w:numPr>
        <w:tabs>
          <w:tab w:val="left" w:pos="1590"/>
        </w:tabs>
        <w:spacing w:before="151"/>
        <w:ind w:hanging="360"/>
        <w:rPr>
          <w:sz w:val="18"/>
        </w:rPr>
      </w:pPr>
      <w:r>
        <w:rPr>
          <w:sz w:val="18"/>
        </w:rPr>
        <w:t>coverage of loss and payment of dividend for the fiscal year 2023,</w:t>
      </w:r>
    </w:p>
    <w:p w14:paraId="57364109" w14:textId="77777777" w:rsidR="00E1198C" w:rsidRDefault="00000000">
      <w:pPr>
        <w:pStyle w:val="Akapitzlist"/>
        <w:numPr>
          <w:ilvl w:val="0"/>
          <w:numId w:val="27"/>
        </w:numPr>
        <w:tabs>
          <w:tab w:val="left" w:pos="1590"/>
        </w:tabs>
        <w:spacing w:before="152"/>
        <w:ind w:hanging="360"/>
        <w:rPr>
          <w:sz w:val="18"/>
        </w:rPr>
      </w:pPr>
      <w:r>
        <w:rPr>
          <w:sz w:val="18"/>
        </w:rPr>
        <w:t>granting discharge to members of the Management Board and Supervisory Board,</w:t>
      </w:r>
    </w:p>
    <w:p w14:paraId="5769DFB1" w14:textId="77777777" w:rsidR="00E1198C" w:rsidRDefault="00000000">
      <w:pPr>
        <w:pStyle w:val="Akapitzlist"/>
        <w:numPr>
          <w:ilvl w:val="0"/>
          <w:numId w:val="27"/>
        </w:numPr>
        <w:tabs>
          <w:tab w:val="left" w:pos="1590"/>
        </w:tabs>
        <w:spacing w:before="152"/>
        <w:ind w:hanging="360"/>
        <w:rPr>
          <w:sz w:val="18"/>
        </w:rPr>
      </w:pPr>
      <w:r>
        <w:rPr>
          <w:sz w:val="18"/>
        </w:rPr>
        <w:t>providing an opinion on the Report on Remuneration of Members of the Management Board and Supervisory Board for 2023,</w:t>
      </w:r>
    </w:p>
    <w:p w14:paraId="13B778F2" w14:textId="77777777" w:rsidR="00E1198C" w:rsidRDefault="00000000">
      <w:pPr>
        <w:pStyle w:val="Akapitzlist"/>
        <w:numPr>
          <w:ilvl w:val="0"/>
          <w:numId w:val="27"/>
        </w:numPr>
        <w:tabs>
          <w:tab w:val="left" w:pos="1590"/>
        </w:tabs>
        <w:spacing w:before="151" w:line="283" w:lineRule="auto"/>
        <w:ind w:right="482"/>
        <w:rPr>
          <w:sz w:val="18"/>
        </w:rPr>
      </w:pPr>
      <w:r>
        <w:rPr>
          <w:sz w:val="18"/>
        </w:rPr>
        <w:t>increasing the Company's share capital through the issuance of ordinary E-series bearer shares and depriving existing shareholders entirely of pre-emptive rights to all E-series shares,</w:t>
      </w:r>
    </w:p>
    <w:p w14:paraId="00A7A81F" w14:textId="77777777" w:rsidR="00E1198C" w:rsidRDefault="00000000">
      <w:pPr>
        <w:pStyle w:val="Akapitzlist"/>
        <w:numPr>
          <w:ilvl w:val="0"/>
          <w:numId w:val="27"/>
        </w:numPr>
        <w:tabs>
          <w:tab w:val="left" w:pos="1590"/>
        </w:tabs>
        <w:spacing w:before="112"/>
        <w:ind w:hanging="360"/>
        <w:rPr>
          <w:sz w:val="18"/>
        </w:rPr>
      </w:pPr>
      <w:r>
        <w:rPr>
          <w:sz w:val="18"/>
        </w:rPr>
        <w:t>amending the Company's articles of association.</w:t>
      </w:r>
    </w:p>
    <w:p w14:paraId="3AE95653" w14:textId="77777777" w:rsidR="00E1198C" w:rsidRDefault="00E1198C">
      <w:pPr>
        <w:pStyle w:val="Tekstpodstawowy"/>
        <w:spacing w:before="168"/>
      </w:pPr>
    </w:p>
    <w:p w14:paraId="614496EE" w14:textId="47AEACAA" w:rsidR="00E1198C" w:rsidRPr="00122FB9" w:rsidRDefault="00000000" w:rsidP="00122FB9">
      <w:pPr>
        <w:pStyle w:val="Akapitzlist"/>
        <w:numPr>
          <w:ilvl w:val="2"/>
          <w:numId w:val="43"/>
        </w:numPr>
        <w:tabs>
          <w:tab w:val="left" w:pos="1229"/>
        </w:tabs>
        <w:ind w:left="1229" w:hanging="719"/>
        <w:rPr>
          <w:sz w:val="18"/>
        </w:rPr>
      </w:pPr>
      <w:r>
        <w:rPr>
          <w:color w:val="F07D00"/>
          <w:sz w:val="18"/>
        </w:rPr>
        <w:t>Audit Committee of the Supervisory Board</w:t>
      </w:r>
    </w:p>
    <w:p w14:paraId="1F5F0753" w14:textId="77777777" w:rsidR="00E1198C" w:rsidRDefault="00000000">
      <w:pPr>
        <w:pStyle w:val="Tekstpodstawowy"/>
        <w:ind w:left="510"/>
      </w:pPr>
      <w:r>
        <w:rPr>
          <w:color w:val="231F20"/>
        </w:rPr>
        <w:t>In 2024 and until the date of publication of this report, the Audit Committee was made up of the following persons:</w:t>
      </w:r>
    </w:p>
    <w:p w14:paraId="1BA8ACFB" w14:textId="77777777" w:rsidR="00E1198C" w:rsidRDefault="00000000">
      <w:pPr>
        <w:pStyle w:val="Akapitzlist"/>
        <w:numPr>
          <w:ilvl w:val="0"/>
          <w:numId w:val="26"/>
        </w:numPr>
        <w:tabs>
          <w:tab w:val="left" w:pos="1565"/>
        </w:tabs>
        <w:spacing w:before="151"/>
        <w:ind w:left="1565" w:hanging="234"/>
        <w:rPr>
          <w:sz w:val="18"/>
        </w:rPr>
      </w:pPr>
      <w:r>
        <w:rPr>
          <w:color w:val="231F20"/>
          <w:sz w:val="18"/>
        </w:rPr>
        <w:t>Bogusław Galewski – Chairman of the Committee</w:t>
      </w:r>
    </w:p>
    <w:p w14:paraId="3100EB02" w14:textId="77777777" w:rsidR="00E1198C" w:rsidRDefault="00000000">
      <w:pPr>
        <w:pStyle w:val="Akapitzlist"/>
        <w:numPr>
          <w:ilvl w:val="0"/>
          <w:numId w:val="26"/>
        </w:numPr>
        <w:tabs>
          <w:tab w:val="left" w:pos="1598"/>
        </w:tabs>
        <w:spacing w:before="152"/>
        <w:ind w:left="1598" w:hanging="267"/>
        <w:rPr>
          <w:sz w:val="18"/>
        </w:rPr>
      </w:pPr>
      <w:r>
        <w:rPr>
          <w:color w:val="231F20"/>
          <w:sz w:val="18"/>
        </w:rPr>
        <w:t>Robert Rzemiński – Member of the Audit Committee,</w:t>
      </w:r>
    </w:p>
    <w:p w14:paraId="0B446CB1" w14:textId="77777777" w:rsidR="00E1198C" w:rsidRDefault="00000000">
      <w:pPr>
        <w:pStyle w:val="Akapitzlist"/>
        <w:numPr>
          <w:ilvl w:val="0"/>
          <w:numId w:val="26"/>
        </w:numPr>
        <w:tabs>
          <w:tab w:val="left" w:pos="1598"/>
        </w:tabs>
        <w:spacing w:before="152"/>
        <w:ind w:left="1598" w:hanging="267"/>
        <w:rPr>
          <w:sz w:val="18"/>
        </w:rPr>
      </w:pPr>
      <w:r>
        <w:rPr>
          <w:color w:val="231F20"/>
          <w:sz w:val="18"/>
        </w:rPr>
        <w:t>Krzysztof Kaczmarczyk – Member of the Audit Committee.</w:t>
      </w:r>
    </w:p>
    <w:p w14:paraId="5B0A8848" w14:textId="77777777" w:rsidR="00E1198C" w:rsidRDefault="00000000">
      <w:pPr>
        <w:pStyle w:val="Tekstpodstawowy"/>
        <w:spacing w:before="163" w:line="276" w:lineRule="auto"/>
        <w:ind w:left="510" w:right="475"/>
        <w:jc w:val="both"/>
      </w:pPr>
      <w:r>
        <w:rPr>
          <w:color w:val="231F20"/>
        </w:rPr>
        <w:t xml:space="preserve">Mr. Bogusław Galewski meets the criteria of independence within the meaning of the Best Practices of GPW listed companies 2021 and the Act of May 11, 2017 on Statutory Auditors, Audit Firms and Public Oversight, as well as has knowledge and skills in the field of accounting. He graduated from the Main School of Planning and Statistics (currently the Warsaw School of Economics) at the faculty of production economics, as well as from postgraduate studies at the Faculty of Journalism of the University of Warsaw. In his professional work, he specializes in the capital and stock market, corporate finance, company restructuring as well as M&amp;A transactions. He worked at the Scientific and Production Center of Electronic Materials in Warsaw; initially as Head of the Planning Department and later as Financial Director and Chief Accountant. He worked for </w:t>
      </w:r>
      <w:proofErr w:type="spellStart"/>
      <w:r>
        <w:rPr>
          <w:color w:val="231F20"/>
        </w:rPr>
        <w:t>EVIP</w:t>
      </w:r>
      <w:proofErr w:type="spellEnd"/>
      <w:r>
        <w:rPr>
          <w:color w:val="231F20"/>
        </w:rPr>
        <w:t xml:space="preserve"> International Sp. o.o., the financial and business consultancy company, as a Partner/Director of the Corporate Finance Department. He was also the Managing Director of </w:t>
      </w:r>
      <w:proofErr w:type="spellStart"/>
      <w:r>
        <w:rPr>
          <w:color w:val="231F20"/>
        </w:rPr>
        <w:t>EVIP</w:t>
      </w:r>
      <w:proofErr w:type="spellEnd"/>
      <w:r>
        <w:rPr>
          <w:color w:val="231F20"/>
        </w:rPr>
        <w:t xml:space="preserve"> </w:t>
      </w:r>
      <w:proofErr w:type="spellStart"/>
      <w:r>
        <w:rPr>
          <w:color w:val="231F20"/>
        </w:rPr>
        <w:t>Doradztwo</w:t>
      </w:r>
      <w:proofErr w:type="spellEnd"/>
      <w:r>
        <w:rPr>
          <w:color w:val="231F20"/>
        </w:rPr>
        <w:t xml:space="preserve"> </w:t>
      </w:r>
      <w:proofErr w:type="spellStart"/>
      <w:r>
        <w:rPr>
          <w:color w:val="231F20"/>
        </w:rPr>
        <w:t>Ekonomiczne</w:t>
      </w:r>
      <w:proofErr w:type="spellEnd"/>
      <w:r>
        <w:rPr>
          <w:color w:val="231F20"/>
        </w:rPr>
        <w:t xml:space="preserve"> Sp. z o.o. Between the years 1997 and 2002 he was a Member of the Management Board and Director in the financial advisory company BIG Finance Sp. z o.o. At the same time, between 1998 and 2004 he worked at Millennium Dom </w:t>
      </w:r>
      <w:proofErr w:type="spellStart"/>
      <w:r>
        <w:rPr>
          <w:color w:val="231F20"/>
        </w:rPr>
        <w:t>Maklerski</w:t>
      </w:r>
      <w:proofErr w:type="spellEnd"/>
      <w:r>
        <w:rPr>
          <w:color w:val="231F20"/>
        </w:rPr>
        <w:t xml:space="preserve"> S.A. as Director of Capital Market Transactions Department. He has held the position of Vice-President of the Management Board of Mercurius Financial Advisors sp. z o.o. since 2006. Moreover, he has been Vice-President of the Management Board of </w:t>
      </w:r>
      <w:proofErr w:type="spellStart"/>
      <w:r>
        <w:rPr>
          <w:color w:val="231F20"/>
        </w:rPr>
        <w:t>mSecurities</w:t>
      </w:r>
      <w:proofErr w:type="spellEnd"/>
      <w:r>
        <w:rPr>
          <w:color w:val="231F20"/>
        </w:rPr>
        <w:t xml:space="preserve"> Sp. z o.o. since 2005.</w:t>
      </w:r>
    </w:p>
    <w:p w14:paraId="3E1B2506" w14:textId="77777777" w:rsidR="00E1198C" w:rsidRDefault="00000000">
      <w:pPr>
        <w:pStyle w:val="Tekstpodstawowy"/>
        <w:spacing w:before="118" w:line="276" w:lineRule="auto"/>
        <w:ind w:left="510" w:right="478"/>
        <w:jc w:val="both"/>
      </w:pPr>
      <w:r>
        <w:rPr>
          <w:color w:val="231F20"/>
        </w:rPr>
        <w:t xml:space="preserve">Mr. Krzysztof Kaczmarczyk meets the criteria of independence in the sense of the Best Practices of GPW listed companies 2021 and the Act of May 11, 2017 on Statutory Auditors, Audit Firms and Public Oversight, as well as has knowledge and skills in the field of accounting. Mr. Krzysztof Kaczmarczyk is a graduate of the Warsaw School of Economics in the field of finance and accounting and a former student of the University of Warsaw (international relations). In 1999-2015 he worked at Deutsche Bank, Credit Suisse, </w:t>
      </w:r>
      <w:proofErr w:type="spellStart"/>
      <w:r>
        <w:rPr>
          <w:color w:val="231F20"/>
        </w:rPr>
        <w:t>Telekomunikacja</w:t>
      </w:r>
      <w:proofErr w:type="spellEnd"/>
      <w:r>
        <w:rPr>
          <w:color w:val="231F20"/>
        </w:rPr>
        <w:t xml:space="preserve"> Polska S.A. Group and </w:t>
      </w:r>
      <w:proofErr w:type="spellStart"/>
      <w:r>
        <w:rPr>
          <w:color w:val="231F20"/>
        </w:rPr>
        <w:t>Emitel</w:t>
      </w:r>
      <w:proofErr w:type="spellEnd"/>
      <w:r>
        <w:rPr>
          <w:color w:val="231F20"/>
        </w:rPr>
        <w:t xml:space="preserve">. Currently, professionally, since 2015, an independent member of supervisory boards of companies listed on the Warsaw Stock Exchange and at the same time an Advisor to the Management Board of KGHM Polska </w:t>
      </w:r>
      <w:proofErr w:type="spellStart"/>
      <w:r>
        <w:rPr>
          <w:color w:val="231F20"/>
        </w:rPr>
        <w:t>Miedź</w:t>
      </w:r>
      <w:proofErr w:type="spellEnd"/>
      <w:r>
        <w:rPr>
          <w:color w:val="231F20"/>
        </w:rPr>
        <w:t xml:space="preserve"> S.A.</w:t>
      </w:r>
    </w:p>
    <w:p w14:paraId="32681C1D" w14:textId="4E935DEC" w:rsidR="00E1198C" w:rsidRDefault="00000000" w:rsidP="00122FB9">
      <w:pPr>
        <w:pStyle w:val="Tekstpodstawowy"/>
        <w:spacing w:before="116"/>
        <w:ind w:left="510" w:right="507"/>
        <w:jc w:val="both"/>
      </w:pPr>
      <w:r>
        <w:rPr>
          <w:color w:val="231F20"/>
        </w:rPr>
        <w:t>Mr. Robert Rzemiński, who holds the title of MSc in chemistry and is a graduate of the Faculty of Chemistry of the University of Wrocław has the necessary skills and knowledge on the pharmaceutical industry, which is key for the operations of Celon Pharma S.A. operates</w:t>
      </w:r>
    </w:p>
    <w:p w14:paraId="5F0B6292" w14:textId="77777777" w:rsidR="00E1198C" w:rsidRDefault="00E1198C">
      <w:pPr>
        <w:jc w:val="both"/>
        <w:sectPr w:rsidR="00E1198C">
          <w:pgSz w:w="11900" w:h="16840"/>
          <w:pgMar w:top="820" w:right="320" w:bottom="920" w:left="300" w:header="0" w:footer="726" w:gutter="0"/>
          <w:cols w:space="708"/>
        </w:sectPr>
      </w:pPr>
    </w:p>
    <w:p w14:paraId="52D1534E" w14:textId="77777777" w:rsidR="00E1198C" w:rsidRDefault="00000000">
      <w:pPr>
        <w:pStyle w:val="Tekstpodstawowy"/>
        <w:spacing w:before="61" w:line="276" w:lineRule="auto"/>
        <w:ind w:left="510" w:right="478"/>
        <w:jc w:val="both"/>
      </w:pPr>
      <w:r>
        <w:rPr>
          <w:color w:val="231F20"/>
        </w:rPr>
        <w:lastRenderedPageBreak/>
        <w:t xml:space="preserve">. He has been associated with </w:t>
      </w:r>
      <w:proofErr w:type="spellStart"/>
      <w:r>
        <w:rPr>
          <w:color w:val="231F20"/>
        </w:rPr>
        <w:t>JELFA</w:t>
      </w:r>
      <w:proofErr w:type="spellEnd"/>
      <w:r>
        <w:rPr>
          <w:color w:val="231F20"/>
        </w:rPr>
        <w:t xml:space="preserve"> </w:t>
      </w:r>
      <w:proofErr w:type="spellStart"/>
      <w:r>
        <w:rPr>
          <w:color w:val="231F20"/>
        </w:rPr>
        <w:t>S.A.,a</w:t>
      </w:r>
      <w:proofErr w:type="spellEnd"/>
      <w:r>
        <w:rPr>
          <w:color w:val="231F20"/>
        </w:rPr>
        <w:t xml:space="preserve"> pharmaceutical company, for many years. From the years 2005 to 2007 he was the President of the Management Board of </w:t>
      </w:r>
      <w:proofErr w:type="spellStart"/>
      <w:r>
        <w:rPr>
          <w:color w:val="231F20"/>
        </w:rPr>
        <w:t>OINPHARMA</w:t>
      </w:r>
      <w:proofErr w:type="spellEnd"/>
      <w:r>
        <w:rPr>
          <w:color w:val="231F20"/>
        </w:rPr>
        <w:t xml:space="preserve"> Sp. z o. o., and in 2007-2013 he was the Vice-President of the Management Board of </w:t>
      </w:r>
      <w:proofErr w:type="spellStart"/>
      <w:r>
        <w:rPr>
          <w:color w:val="231F20"/>
        </w:rPr>
        <w:t>BioVentures</w:t>
      </w:r>
      <w:proofErr w:type="spellEnd"/>
      <w:r>
        <w:rPr>
          <w:color w:val="231F20"/>
        </w:rPr>
        <w:t xml:space="preserve"> Partners Sp. z o.o. Currently, Mr. Robert Rzemiński is the President of the Management Board of </w:t>
      </w:r>
      <w:proofErr w:type="spellStart"/>
      <w:r>
        <w:rPr>
          <w:color w:val="231F20"/>
        </w:rPr>
        <w:t>Pharmtek</w:t>
      </w:r>
      <w:proofErr w:type="spellEnd"/>
      <w:r>
        <w:rPr>
          <w:color w:val="231F20"/>
        </w:rPr>
        <w:t xml:space="preserve"> CG Sp. z o.o.</w:t>
      </w:r>
    </w:p>
    <w:p w14:paraId="4375B020" w14:textId="77777777" w:rsidR="00E1198C" w:rsidRDefault="00000000">
      <w:pPr>
        <w:pStyle w:val="Tekstpodstawowy"/>
        <w:spacing w:before="120" w:line="273" w:lineRule="auto"/>
        <w:ind w:left="510" w:right="477"/>
        <w:jc w:val="both"/>
      </w:pPr>
      <w:r>
        <w:rPr>
          <w:color w:val="231F20"/>
        </w:rPr>
        <w:t>Rules of Procedure of the Audit Committee Regulations were adopted by the Supervisory Board on February 11, 2021, and subsequently amended by Resolution of February 25, 2025, in connection with the entry into force of changes to legal regulations introduced by the Act of December 6, 2024 on the amendment of the Accounting Act, the Act on Statutory Auditors, Audit Firms and Public Oversight and certain other acts (Journal of Laws of 2024, item 1863). In accordance with these Regulations, the tasks of the Audit Committee include in particular:</w:t>
      </w:r>
    </w:p>
    <w:p w14:paraId="14F29ED5" w14:textId="77777777" w:rsidR="00E1198C" w:rsidRDefault="00000000">
      <w:pPr>
        <w:pStyle w:val="Akapitzlist"/>
        <w:numPr>
          <w:ilvl w:val="0"/>
          <w:numId w:val="25"/>
        </w:numPr>
        <w:tabs>
          <w:tab w:val="left" w:pos="1229"/>
        </w:tabs>
        <w:spacing w:before="135"/>
        <w:ind w:left="1229" w:hanging="359"/>
        <w:jc w:val="both"/>
        <w:rPr>
          <w:sz w:val="18"/>
        </w:rPr>
      </w:pPr>
      <w:r>
        <w:rPr>
          <w:color w:val="231F20"/>
          <w:sz w:val="18"/>
        </w:rPr>
        <w:t>monitoring:</w:t>
      </w:r>
    </w:p>
    <w:p w14:paraId="3AC417BD" w14:textId="77777777" w:rsidR="00E1198C" w:rsidRDefault="00000000">
      <w:pPr>
        <w:pStyle w:val="Akapitzlist"/>
        <w:numPr>
          <w:ilvl w:val="1"/>
          <w:numId w:val="25"/>
        </w:numPr>
        <w:tabs>
          <w:tab w:val="left" w:pos="1953"/>
        </w:tabs>
        <w:spacing w:before="151"/>
        <w:jc w:val="left"/>
        <w:rPr>
          <w:sz w:val="18"/>
        </w:rPr>
      </w:pPr>
      <w:r>
        <w:rPr>
          <w:color w:val="231F20"/>
          <w:sz w:val="18"/>
        </w:rPr>
        <w:t>the process of:</w:t>
      </w:r>
    </w:p>
    <w:p w14:paraId="0FCF76A5" w14:textId="77777777" w:rsidR="00E1198C" w:rsidRDefault="00000000">
      <w:pPr>
        <w:pStyle w:val="Tekstpodstawowy"/>
        <w:tabs>
          <w:tab w:val="left" w:pos="1235"/>
        </w:tabs>
        <w:spacing w:before="163"/>
        <w:ind w:left="870"/>
      </w:pPr>
      <w:r>
        <w:rPr>
          <w:color w:val="231F20"/>
        </w:rPr>
        <w:t>− financial reporting,</w:t>
      </w:r>
    </w:p>
    <w:p w14:paraId="25074846" w14:textId="77777777" w:rsidR="00E1198C" w:rsidRDefault="00000000">
      <w:pPr>
        <w:pStyle w:val="Tekstpodstawowy"/>
        <w:spacing w:before="163" w:line="273" w:lineRule="auto"/>
        <w:ind w:left="1230" w:right="473" w:hanging="361"/>
        <w:jc w:val="both"/>
      </w:pPr>
      <w:r>
        <w:rPr>
          <w:rFonts w:ascii="Times New Roman" w:hAnsi="Times New Roman"/>
          <w:color w:val="231F20"/>
        </w:rPr>
        <w:t>−</w:t>
      </w:r>
      <w:r>
        <w:rPr>
          <w:color w:val="231F20"/>
        </w:rPr>
        <w:t xml:space="preserve"> sustainability reporting or group sustainability reporting (in the event that the Company is obligated to prepare group sustainability reporting based on generally applicable legal provisions), including in terms of their preparation and marking in accordance with Article 63zc of the Accounting Act of September 29, 1994, and the process of identification by the Company of information presented in accordance with sustainability reporting standards within the meaning of Article 63p point 2 of the Act of September 29, 1994 on accounting,</w:t>
      </w:r>
    </w:p>
    <w:p w14:paraId="236C5EFA" w14:textId="77777777" w:rsidR="00E1198C" w:rsidRDefault="00000000">
      <w:pPr>
        <w:pStyle w:val="Akapitzlist"/>
        <w:numPr>
          <w:ilvl w:val="1"/>
          <w:numId w:val="25"/>
        </w:numPr>
        <w:tabs>
          <w:tab w:val="left" w:pos="1223"/>
          <w:tab w:val="left" w:pos="1230"/>
        </w:tabs>
        <w:spacing w:before="132" w:line="271" w:lineRule="auto"/>
        <w:ind w:left="1230" w:right="477" w:hanging="361"/>
        <w:jc w:val="both"/>
        <w:rPr>
          <w:sz w:val="18"/>
        </w:rPr>
      </w:pPr>
      <w:r>
        <w:rPr>
          <w:color w:val="231F20"/>
          <w:sz w:val="18"/>
        </w:rPr>
        <w:t>the effectiveness of internal control systems and risk management systems and internal audit, in particular in the area of:</w:t>
      </w:r>
    </w:p>
    <w:p w14:paraId="0F84637B" w14:textId="77777777" w:rsidR="00E1198C" w:rsidRDefault="00000000">
      <w:pPr>
        <w:pStyle w:val="Tekstpodstawowy"/>
        <w:tabs>
          <w:tab w:val="left" w:pos="1235"/>
        </w:tabs>
        <w:spacing w:before="133"/>
        <w:ind w:left="870"/>
      </w:pPr>
      <w:r>
        <w:rPr>
          <w:color w:val="231F20"/>
        </w:rPr>
        <w:t>− financial reporting,</w:t>
      </w:r>
    </w:p>
    <w:p w14:paraId="64E9242C" w14:textId="77777777" w:rsidR="00E1198C" w:rsidRDefault="00000000">
      <w:pPr>
        <w:pStyle w:val="Tekstpodstawowy"/>
        <w:spacing w:before="163" w:line="283" w:lineRule="auto"/>
        <w:ind w:left="1230" w:right="482" w:hanging="361"/>
        <w:jc w:val="both"/>
      </w:pPr>
      <w:r>
        <w:rPr>
          <w:color w:val="231F20"/>
        </w:rPr>
        <w:t>− sustainability reporting or group sustainability reporting, including in terms of its preparation and marking in accordance with Article 63zc of the Accounting Act of September 29, 1994,</w:t>
      </w:r>
    </w:p>
    <w:p w14:paraId="5F1D988E" w14:textId="77777777" w:rsidR="00E1198C" w:rsidRDefault="00000000">
      <w:pPr>
        <w:pStyle w:val="Akapitzlist"/>
        <w:numPr>
          <w:ilvl w:val="1"/>
          <w:numId w:val="25"/>
        </w:numPr>
        <w:tabs>
          <w:tab w:val="left" w:pos="1224"/>
          <w:tab w:val="left" w:pos="1230"/>
        </w:tabs>
        <w:spacing w:before="112" w:line="276" w:lineRule="auto"/>
        <w:ind w:left="1230" w:right="479" w:hanging="361"/>
        <w:jc w:val="both"/>
        <w:rPr>
          <w:sz w:val="18"/>
        </w:rPr>
      </w:pPr>
      <w:r>
        <w:rPr>
          <w:color w:val="231F20"/>
          <w:sz w:val="18"/>
        </w:rPr>
        <w:t>the performance of financial audit activities, in particular an audit or assurance of sustainability reporting conducted by an audit firm, taking into account all conclusions and findings of the Polish Agency for Audit Oversight resulting from inspections conducted at the audit firm;</w:t>
      </w:r>
    </w:p>
    <w:p w14:paraId="0D7260FF" w14:textId="77777777" w:rsidR="00E1198C" w:rsidRDefault="00000000">
      <w:pPr>
        <w:pStyle w:val="Akapitzlist"/>
        <w:numPr>
          <w:ilvl w:val="1"/>
          <w:numId w:val="25"/>
        </w:numPr>
        <w:tabs>
          <w:tab w:val="left" w:pos="1224"/>
        </w:tabs>
        <w:spacing w:before="119"/>
        <w:ind w:left="1224" w:hanging="354"/>
        <w:jc w:val="both"/>
        <w:rPr>
          <w:sz w:val="18"/>
        </w:rPr>
      </w:pPr>
      <w:r>
        <w:rPr>
          <w:color w:val="231F20"/>
          <w:sz w:val="18"/>
        </w:rPr>
        <w:t>relations with associates.</w:t>
      </w:r>
    </w:p>
    <w:p w14:paraId="77FFCF34" w14:textId="77777777" w:rsidR="00E1198C" w:rsidRDefault="00000000">
      <w:pPr>
        <w:pStyle w:val="Akapitzlist"/>
        <w:numPr>
          <w:ilvl w:val="0"/>
          <w:numId w:val="25"/>
        </w:numPr>
        <w:tabs>
          <w:tab w:val="left" w:pos="1228"/>
          <w:tab w:val="left" w:pos="1230"/>
        </w:tabs>
        <w:spacing w:before="152" w:line="271" w:lineRule="auto"/>
        <w:ind w:right="481" w:hanging="361"/>
        <w:jc w:val="both"/>
        <w:rPr>
          <w:sz w:val="18"/>
        </w:rPr>
      </w:pPr>
      <w:r>
        <w:rPr>
          <w:color w:val="231F20"/>
          <w:sz w:val="18"/>
        </w:rPr>
        <w:t>controlling and monitoring the independence of the statutory auditor and audit firm, in particular when the audit firm provides the Company with services other than audit and assurance of sustainability reporting;</w:t>
      </w:r>
    </w:p>
    <w:p w14:paraId="2BBD036A" w14:textId="77777777" w:rsidR="00E1198C" w:rsidRDefault="00000000">
      <w:pPr>
        <w:pStyle w:val="Akapitzlist"/>
        <w:numPr>
          <w:ilvl w:val="0"/>
          <w:numId w:val="25"/>
        </w:numPr>
        <w:tabs>
          <w:tab w:val="left" w:pos="1228"/>
          <w:tab w:val="left" w:pos="1230"/>
        </w:tabs>
        <w:spacing w:before="122" w:line="278" w:lineRule="auto"/>
        <w:ind w:right="475" w:hanging="361"/>
        <w:jc w:val="both"/>
        <w:rPr>
          <w:sz w:val="18"/>
        </w:rPr>
      </w:pPr>
      <w:r>
        <w:rPr>
          <w:color w:val="231F20"/>
          <w:sz w:val="18"/>
        </w:rPr>
        <w:t>informing the Supervisory Board or other supervisory or control body of the Company about the results of the audit or assurance of sustainability reporting and explaining how this audit or assurance contributed to the reliability of financial reporting, sustainability reporting or group sustainability reporting, and what the role of the Audit Committee was in the audit or assurance process, respectively;</w:t>
      </w:r>
    </w:p>
    <w:p w14:paraId="0D38C75D" w14:textId="77777777" w:rsidR="00E1198C" w:rsidRDefault="00000000">
      <w:pPr>
        <w:pStyle w:val="Akapitzlist"/>
        <w:numPr>
          <w:ilvl w:val="0"/>
          <w:numId w:val="25"/>
        </w:numPr>
        <w:tabs>
          <w:tab w:val="left" w:pos="1228"/>
          <w:tab w:val="left" w:pos="1230"/>
        </w:tabs>
        <w:spacing w:before="118" w:line="271" w:lineRule="auto"/>
        <w:ind w:right="479" w:hanging="361"/>
        <w:jc w:val="both"/>
        <w:rPr>
          <w:sz w:val="18"/>
        </w:rPr>
      </w:pPr>
      <w:r>
        <w:rPr>
          <w:color w:val="231F20"/>
          <w:sz w:val="18"/>
        </w:rPr>
        <w:t>assessing the independence of the statutory auditor and consenting to the provision by them of permitted non-audit services in a public interest entity;</w:t>
      </w:r>
    </w:p>
    <w:p w14:paraId="5644E3B2" w14:textId="77777777" w:rsidR="00E1198C" w:rsidRDefault="00000000">
      <w:pPr>
        <w:pStyle w:val="Akapitzlist"/>
        <w:numPr>
          <w:ilvl w:val="0"/>
          <w:numId w:val="25"/>
        </w:numPr>
        <w:tabs>
          <w:tab w:val="left" w:pos="1228"/>
          <w:tab w:val="left" w:pos="1230"/>
        </w:tabs>
        <w:spacing w:before="122" w:line="276" w:lineRule="auto"/>
        <w:ind w:right="478" w:hanging="361"/>
        <w:jc w:val="both"/>
        <w:rPr>
          <w:sz w:val="18"/>
        </w:rPr>
      </w:pPr>
      <w:r>
        <w:rPr>
          <w:color w:val="231F20"/>
          <w:sz w:val="18"/>
        </w:rPr>
        <w:t>developing a policy for selecting an audit firm to audit the financial statements and a policy for selecting the audit firm to conduct assurance of sustainability reporting or group sustainability reporting;</w:t>
      </w:r>
    </w:p>
    <w:p w14:paraId="2BE00440" w14:textId="77777777" w:rsidR="00E1198C" w:rsidRDefault="00000000">
      <w:pPr>
        <w:pStyle w:val="Akapitzlist"/>
        <w:numPr>
          <w:ilvl w:val="0"/>
          <w:numId w:val="25"/>
        </w:numPr>
        <w:tabs>
          <w:tab w:val="left" w:pos="1228"/>
          <w:tab w:val="left" w:pos="1230"/>
        </w:tabs>
        <w:spacing w:before="131" w:line="276" w:lineRule="auto"/>
        <w:ind w:right="481" w:hanging="361"/>
        <w:jc w:val="both"/>
        <w:rPr>
          <w:sz w:val="18"/>
        </w:rPr>
      </w:pPr>
      <w:r>
        <w:rPr>
          <w:color w:val="231F20"/>
          <w:sz w:val="18"/>
        </w:rPr>
        <w:t>developing a policy for the provision by the audit firm auditing the financial statements or assurance of sustainability reporting, by entities related to that audit firm, and by a member of the network to which the audit firm belongs, of permitted non-audit or non-assurance of sustainability reporting services;</w:t>
      </w:r>
    </w:p>
    <w:p w14:paraId="4C0FC3E5" w14:textId="77777777" w:rsidR="00E1198C" w:rsidRDefault="00000000">
      <w:pPr>
        <w:pStyle w:val="Akapitzlist"/>
        <w:numPr>
          <w:ilvl w:val="0"/>
          <w:numId w:val="25"/>
        </w:numPr>
        <w:tabs>
          <w:tab w:val="left" w:pos="1229"/>
        </w:tabs>
        <w:spacing w:before="120"/>
        <w:ind w:left="1229" w:hanging="359"/>
        <w:jc w:val="both"/>
        <w:rPr>
          <w:sz w:val="18"/>
        </w:rPr>
      </w:pPr>
      <w:r>
        <w:rPr>
          <w:color w:val="231F20"/>
          <w:sz w:val="18"/>
        </w:rPr>
        <w:t>determining the procedure for selecting an audit firm by a public interest entity;</w:t>
      </w:r>
    </w:p>
    <w:p w14:paraId="13DB0E52" w14:textId="77777777" w:rsidR="00E1198C" w:rsidRDefault="00000000">
      <w:pPr>
        <w:pStyle w:val="Akapitzlist"/>
        <w:numPr>
          <w:ilvl w:val="0"/>
          <w:numId w:val="25"/>
        </w:numPr>
        <w:tabs>
          <w:tab w:val="left" w:pos="1228"/>
          <w:tab w:val="left" w:pos="1230"/>
        </w:tabs>
        <w:spacing w:before="151" w:line="276" w:lineRule="auto"/>
        <w:ind w:right="479" w:hanging="361"/>
        <w:jc w:val="both"/>
        <w:rPr>
          <w:sz w:val="18"/>
        </w:rPr>
      </w:pPr>
      <w:r>
        <w:rPr>
          <w:color w:val="231F20"/>
          <w:sz w:val="18"/>
        </w:rPr>
        <w:t>presenting to Supervisory Board or other supervisory or control body, or the body referred to in Article 66 paragraph 4 of the Accounting Act of September 29, 1994, the recommendation referred to in Article 16 paragraph 2 of Regulation No. 537/2014, in accordance with the policies referred to in points 5 and 6;</w:t>
      </w:r>
    </w:p>
    <w:p w14:paraId="55C1295E" w14:textId="77777777" w:rsidR="00E1198C" w:rsidRDefault="00000000">
      <w:pPr>
        <w:pStyle w:val="Akapitzlist"/>
        <w:numPr>
          <w:ilvl w:val="0"/>
          <w:numId w:val="25"/>
        </w:numPr>
        <w:tabs>
          <w:tab w:val="left" w:pos="1228"/>
          <w:tab w:val="left" w:pos="1230"/>
        </w:tabs>
        <w:spacing w:before="120" w:line="276" w:lineRule="auto"/>
        <w:ind w:right="480" w:hanging="361"/>
        <w:jc w:val="both"/>
        <w:rPr>
          <w:sz w:val="18"/>
        </w:rPr>
      </w:pPr>
      <w:r>
        <w:rPr>
          <w:color w:val="231F20"/>
          <w:sz w:val="18"/>
        </w:rPr>
        <w:t>submitting recommendations aimed at ensuring the reliability of the financial reporting process, sustainability reporting or group sustainability reporting in a public interest entity.</w:t>
      </w:r>
    </w:p>
    <w:p w14:paraId="6E5CE339" w14:textId="77777777" w:rsidR="00E1198C" w:rsidRDefault="00000000">
      <w:pPr>
        <w:pStyle w:val="Tekstpodstawowy"/>
        <w:spacing w:before="120" w:line="273" w:lineRule="auto"/>
        <w:ind w:left="510" w:right="479"/>
        <w:jc w:val="both"/>
      </w:pPr>
      <w:r>
        <w:rPr>
          <w:color w:val="231F20"/>
        </w:rPr>
        <w:t>The Audit Committee may request members of the Management Board to submit specific information in the field of accounting, finance, internal control, internal audit and risk management that are necessary for the performance of its activities. The Audit Committee should be informed about the method of accounting for significant and unusual transactions in case different solutions can be applied. If it deems it appropriate, the Audit Committee may invite in particular Members of the Company's Management Board, employees of the Company, other</w:t>
      </w:r>
    </w:p>
    <w:p w14:paraId="7C85E702" w14:textId="77777777" w:rsidR="00E1198C" w:rsidRDefault="00E1198C">
      <w:pPr>
        <w:spacing w:line="273" w:lineRule="auto"/>
        <w:jc w:val="both"/>
        <w:sectPr w:rsidR="00E1198C">
          <w:pgSz w:w="11900" w:h="16840"/>
          <w:pgMar w:top="820" w:right="320" w:bottom="920" w:left="300" w:header="0" w:footer="726" w:gutter="0"/>
          <w:cols w:space="708"/>
        </w:sectPr>
      </w:pPr>
    </w:p>
    <w:p w14:paraId="37FC27BF" w14:textId="77777777" w:rsidR="00E1198C" w:rsidRDefault="00000000">
      <w:pPr>
        <w:pStyle w:val="Tekstpodstawowy"/>
        <w:spacing w:before="61" w:line="283" w:lineRule="auto"/>
        <w:ind w:left="510" w:right="472"/>
      </w:pPr>
      <w:r>
        <w:rPr>
          <w:color w:val="231F20"/>
        </w:rPr>
        <w:lastRenderedPageBreak/>
        <w:t>persons employed by the Company, as well as the statutory auditor or representatives of the audit firm performing financial audit activities in the Company to the Audit Committee meetings.</w:t>
      </w:r>
    </w:p>
    <w:p w14:paraId="5F8D9324" w14:textId="0686F4BD" w:rsidR="00E1198C" w:rsidRDefault="00000000">
      <w:pPr>
        <w:pStyle w:val="Tekstpodstawowy"/>
        <w:spacing w:before="112"/>
        <w:ind w:left="510"/>
      </w:pPr>
      <w:r>
        <w:t>In 2024, five meetings of the Audit Committee were held.</w:t>
      </w:r>
    </w:p>
    <w:p w14:paraId="5552B43A" w14:textId="77777777" w:rsidR="00E1198C" w:rsidRDefault="00E1198C">
      <w:pPr>
        <w:pStyle w:val="Tekstpodstawowy"/>
        <w:spacing w:before="168"/>
      </w:pPr>
    </w:p>
    <w:p w14:paraId="60D90157" w14:textId="7186176D" w:rsidR="00E1198C" w:rsidRDefault="00000000">
      <w:pPr>
        <w:pStyle w:val="Akapitzlist"/>
        <w:numPr>
          <w:ilvl w:val="2"/>
          <w:numId w:val="43"/>
        </w:numPr>
        <w:tabs>
          <w:tab w:val="left" w:pos="1229"/>
        </w:tabs>
        <w:ind w:left="1229" w:hanging="719"/>
        <w:rPr>
          <w:sz w:val="18"/>
        </w:rPr>
      </w:pPr>
      <w:r>
        <w:rPr>
          <w:color w:val="F07D00"/>
          <w:sz w:val="18"/>
        </w:rPr>
        <w:t>The audit firm selection process</w:t>
      </w:r>
    </w:p>
    <w:p w14:paraId="00155282" w14:textId="77777777" w:rsidR="00E1198C" w:rsidRDefault="00E1198C">
      <w:pPr>
        <w:pStyle w:val="Tekstpodstawowy"/>
        <w:spacing w:before="37"/>
      </w:pPr>
    </w:p>
    <w:p w14:paraId="4D0AE7EB" w14:textId="77777777" w:rsidR="00E1198C" w:rsidRDefault="00000000">
      <w:pPr>
        <w:pStyle w:val="Nagwek5"/>
        <w:spacing w:before="1"/>
        <w:ind w:left="510" w:firstLine="1"/>
        <w:jc w:val="both"/>
      </w:pPr>
      <w:r>
        <w:rPr>
          <w:color w:val="F07D00"/>
        </w:rPr>
        <w:t>Main assumptions of the Policy for audit firm selection and the Policy for the provision of non-audit services by audit firms</w:t>
      </w:r>
    </w:p>
    <w:p w14:paraId="36700009" w14:textId="77777777" w:rsidR="00E1198C" w:rsidRDefault="00000000">
      <w:pPr>
        <w:pStyle w:val="Tekstpodstawowy"/>
        <w:spacing w:before="157"/>
        <w:ind w:left="510" w:right="477"/>
        <w:jc w:val="both"/>
      </w:pPr>
      <w:r>
        <w:rPr>
          <w:color w:val="231F20"/>
        </w:rPr>
        <w:t>The statutory auditor or audit firm conducting the statutory audit of the Company's financial statements and assurance of sustainability reporting, or any entity related to that audit firm, or any member of a network to which the audit firm belongs, shall not provide directly or indirectly to the Company any prohibited non-audit services during the period from the beginning of the audited period until the issuance of the audit report and the sustainability reporting assurance report, and in the fiscal year immediately preceding the audited period – services in the area of developing and implementing internal control procedures or risk management procedures related to the preparation or control of financial information or developing and implementing technological systems concerning financial information.</w:t>
      </w:r>
    </w:p>
    <w:p w14:paraId="01BE1C56" w14:textId="77777777" w:rsidR="00E1198C" w:rsidRDefault="00000000" w:rsidP="00122FB9">
      <w:pPr>
        <w:pStyle w:val="Tekstpodstawowy"/>
        <w:spacing w:before="116" w:line="244" w:lineRule="auto"/>
        <w:ind w:left="510" w:right="477"/>
        <w:jc w:val="both"/>
      </w:pPr>
      <w:r>
        <w:rPr>
          <w:color w:val="231F20"/>
        </w:rPr>
        <w:t>The maximum duration of uninterrupted engagements referred to in Article 17 paragraph 1 second subparagraph of Regulation No. 537/2014 on specific requirements regarding statutory audits of public-interest entities may not exceed 10 years.</w:t>
      </w:r>
    </w:p>
    <w:p w14:paraId="7551B228" w14:textId="77777777" w:rsidR="00E1198C" w:rsidRDefault="00000000" w:rsidP="00122FB9">
      <w:pPr>
        <w:pStyle w:val="Tekstpodstawowy"/>
        <w:spacing w:before="116"/>
        <w:ind w:left="510" w:right="477"/>
        <w:jc w:val="both"/>
      </w:pPr>
      <w:r>
        <w:rPr>
          <w:color w:val="231F20"/>
        </w:rPr>
        <w:t>When selecting the entity authorized to audit financial statements, the Supervisory Board takes into account:</w:t>
      </w:r>
    </w:p>
    <w:p w14:paraId="5A2C9B19" w14:textId="77777777" w:rsidR="00E1198C" w:rsidRDefault="00000000" w:rsidP="00122FB9">
      <w:pPr>
        <w:pStyle w:val="Akapitzlist"/>
        <w:numPr>
          <w:ilvl w:val="0"/>
          <w:numId w:val="24"/>
        </w:numPr>
        <w:tabs>
          <w:tab w:val="left" w:pos="1230"/>
        </w:tabs>
        <w:spacing w:before="118"/>
        <w:ind w:right="477" w:hanging="360"/>
        <w:jc w:val="both"/>
        <w:rPr>
          <w:sz w:val="18"/>
        </w:rPr>
      </w:pPr>
      <w:r>
        <w:rPr>
          <w:color w:val="231F20"/>
          <w:sz w:val="18"/>
        </w:rPr>
        <w:t>the entity's impartiality and independence,</w:t>
      </w:r>
    </w:p>
    <w:p w14:paraId="7C46F481" w14:textId="77777777" w:rsidR="00E1198C" w:rsidRDefault="00000000" w:rsidP="00122FB9">
      <w:pPr>
        <w:pStyle w:val="Akapitzlist"/>
        <w:numPr>
          <w:ilvl w:val="0"/>
          <w:numId w:val="24"/>
        </w:numPr>
        <w:tabs>
          <w:tab w:val="left" w:pos="1230"/>
        </w:tabs>
        <w:spacing w:before="117" w:line="244" w:lineRule="auto"/>
        <w:ind w:right="477"/>
        <w:jc w:val="both"/>
        <w:rPr>
          <w:sz w:val="18"/>
        </w:rPr>
      </w:pPr>
      <w:r>
        <w:rPr>
          <w:color w:val="231F20"/>
          <w:sz w:val="18"/>
        </w:rPr>
        <w:t>the entity's experience in auditing financial statements of public interest entities and in auditing financial statements of entities with a similar business profile as the Company’s,</w:t>
      </w:r>
    </w:p>
    <w:p w14:paraId="46035EF4" w14:textId="04C99162" w:rsidR="00E1198C" w:rsidRPr="009903A1" w:rsidRDefault="00000000" w:rsidP="00122FB9">
      <w:pPr>
        <w:pStyle w:val="Akapitzlist"/>
        <w:numPr>
          <w:ilvl w:val="0"/>
          <w:numId w:val="24"/>
        </w:numPr>
        <w:tabs>
          <w:tab w:val="left" w:pos="1230"/>
        </w:tabs>
        <w:spacing w:before="115"/>
        <w:ind w:right="477" w:hanging="360"/>
        <w:jc w:val="both"/>
        <w:rPr>
          <w:sz w:val="18"/>
        </w:rPr>
      </w:pPr>
      <w:r>
        <w:rPr>
          <w:color w:val="231F20"/>
          <w:sz w:val="18"/>
        </w:rPr>
        <w:t>the ability to ensure the provision of the required scope of services – with particular emphasis on access to experts providing the highest quality service according to required standards and within the timeframes expected by the Company,</w:t>
      </w:r>
    </w:p>
    <w:p w14:paraId="0A5E8505" w14:textId="77777777" w:rsidR="00E1198C" w:rsidRDefault="00000000" w:rsidP="00122FB9">
      <w:pPr>
        <w:pStyle w:val="Akapitzlist"/>
        <w:numPr>
          <w:ilvl w:val="0"/>
          <w:numId w:val="24"/>
        </w:numPr>
        <w:tabs>
          <w:tab w:val="left" w:pos="1228"/>
          <w:tab w:val="left" w:pos="1230"/>
        </w:tabs>
        <w:spacing w:before="118"/>
        <w:ind w:right="477"/>
        <w:jc w:val="both"/>
        <w:rPr>
          <w:sz w:val="18"/>
        </w:rPr>
      </w:pPr>
      <w:r>
        <w:rPr>
          <w:color w:val="231F20"/>
          <w:sz w:val="18"/>
        </w:rPr>
        <w:t>the audit firm's ability to demonstrate that the person designated as the key statutory auditor has appropriate qualifications to conduct audits of financial statements obtained in Poland, including being entered in the appropriate registers of statutory auditors in Poland,</w:t>
      </w:r>
    </w:p>
    <w:p w14:paraId="6721C424" w14:textId="77777777" w:rsidR="00E1198C" w:rsidRDefault="00000000" w:rsidP="00122FB9">
      <w:pPr>
        <w:pStyle w:val="Akapitzlist"/>
        <w:numPr>
          <w:ilvl w:val="0"/>
          <w:numId w:val="24"/>
        </w:numPr>
        <w:tabs>
          <w:tab w:val="left" w:pos="1230"/>
        </w:tabs>
        <w:spacing w:before="117"/>
        <w:ind w:right="477" w:hanging="360"/>
        <w:jc w:val="both"/>
        <w:rPr>
          <w:sz w:val="18"/>
        </w:rPr>
      </w:pPr>
      <w:r>
        <w:rPr>
          <w:color w:val="231F20"/>
          <w:sz w:val="18"/>
        </w:rPr>
        <w:t>professional qualifications and experience of persons directly involved in the audit,</w:t>
      </w:r>
    </w:p>
    <w:p w14:paraId="156E832E" w14:textId="77777777" w:rsidR="00E1198C" w:rsidRDefault="00000000" w:rsidP="00122FB9">
      <w:pPr>
        <w:pStyle w:val="Akapitzlist"/>
        <w:numPr>
          <w:ilvl w:val="0"/>
          <w:numId w:val="24"/>
        </w:numPr>
        <w:tabs>
          <w:tab w:val="left" w:pos="1228"/>
          <w:tab w:val="left" w:pos="1230"/>
        </w:tabs>
        <w:spacing w:before="118" w:line="244" w:lineRule="auto"/>
        <w:ind w:right="477"/>
        <w:jc w:val="both"/>
        <w:rPr>
          <w:sz w:val="18"/>
        </w:rPr>
      </w:pPr>
      <w:r>
        <w:rPr>
          <w:color w:val="231F20"/>
          <w:sz w:val="18"/>
        </w:rPr>
        <w:t>the willingness of the audit firm and members of the audit team to submit a statement of compliance with the independence requirements referred to in Articles 69-73 of the Act on Auditors prior to commencing the audit,</w:t>
      </w:r>
    </w:p>
    <w:p w14:paraId="4BAB36FB" w14:textId="77777777" w:rsidR="00E1198C" w:rsidRDefault="00000000" w:rsidP="00122FB9">
      <w:pPr>
        <w:pStyle w:val="Akapitzlist"/>
        <w:numPr>
          <w:ilvl w:val="0"/>
          <w:numId w:val="24"/>
        </w:numPr>
        <w:tabs>
          <w:tab w:val="left" w:pos="1228"/>
          <w:tab w:val="left" w:pos="1230"/>
        </w:tabs>
        <w:spacing w:before="120" w:line="232" w:lineRule="auto"/>
        <w:ind w:right="477"/>
        <w:jc w:val="both"/>
        <w:rPr>
          <w:sz w:val="18"/>
        </w:rPr>
      </w:pPr>
      <w:r>
        <w:rPr>
          <w:color w:val="231F20"/>
          <w:sz w:val="18"/>
        </w:rPr>
        <w:t>information regarding the audit firm from the annual report of the Polish Agency for Audit Oversight published pursuant to Article 90, Section 5 of the Act on Auditors, Audit Firms and Public Oversight,</w:t>
      </w:r>
    </w:p>
    <w:p w14:paraId="026908AA" w14:textId="77777777" w:rsidR="00E1198C" w:rsidRDefault="00000000" w:rsidP="00122FB9">
      <w:pPr>
        <w:pStyle w:val="Akapitzlist"/>
        <w:numPr>
          <w:ilvl w:val="0"/>
          <w:numId w:val="24"/>
        </w:numPr>
        <w:tabs>
          <w:tab w:val="left" w:pos="1228"/>
          <w:tab w:val="left" w:pos="1230"/>
        </w:tabs>
        <w:spacing w:before="120" w:line="244" w:lineRule="auto"/>
        <w:ind w:right="477"/>
        <w:jc w:val="both"/>
        <w:rPr>
          <w:sz w:val="18"/>
        </w:rPr>
      </w:pPr>
      <w:r>
        <w:rPr>
          <w:color w:val="231F20"/>
          <w:sz w:val="18"/>
        </w:rPr>
        <w:t>the key auditor's possibility to participate in meetings of the Supervisory Board and the Audit Committee, held at times convenient for the members of these bodies,</w:t>
      </w:r>
    </w:p>
    <w:p w14:paraId="127E0E32" w14:textId="77777777" w:rsidR="00E1198C" w:rsidRDefault="00000000" w:rsidP="00122FB9">
      <w:pPr>
        <w:pStyle w:val="Akapitzlist"/>
        <w:numPr>
          <w:ilvl w:val="0"/>
          <w:numId w:val="24"/>
        </w:numPr>
        <w:tabs>
          <w:tab w:val="left" w:pos="1228"/>
          <w:tab w:val="left" w:pos="1230"/>
        </w:tabs>
        <w:spacing w:before="114" w:line="244" w:lineRule="auto"/>
        <w:ind w:right="477"/>
        <w:jc w:val="both"/>
        <w:rPr>
          <w:sz w:val="18"/>
        </w:rPr>
      </w:pPr>
      <w:r>
        <w:rPr>
          <w:color w:val="231F20"/>
          <w:sz w:val="18"/>
        </w:rPr>
        <w:t>the price proposed by the audit firm, which should not be excessive compared to prices for such services offered on the market.</w:t>
      </w:r>
    </w:p>
    <w:p w14:paraId="08F33CA2" w14:textId="77777777" w:rsidR="00E1198C" w:rsidRDefault="00000000" w:rsidP="00122FB9">
      <w:pPr>
        <w:pStyle w:val="Tekstpodstawowy"/>
        <w:spacing w:before="115" w:line="244" w:lineRule="auto"/>
        <w:ind w:left="510" w:right="477"/>
        <w:jc w:val="both"/>
      </w:pPr>
      <w:r>
        <w:rPr>
          <w:color w:val="231F20"/>
        </w:rPr>
        <w:t>When selecting the audit firm to conduct assurance of sustainability reporting the Supervisory Board takes into account:</w:t>
      </w:r>
    </w:p>
    <w:p w14:paraId="7669BA43" w14:textId="77777777" w:rsidR="00E1198C" w:rsidRDefault="00000000" w:rsidP="00122FB9">
      <w:pPr>
        <w:pStyle w:val="Akapitzlist"/>
        <w:numPr>
          <w:ilvl w:val="0"/>
          <w:numId w:val="24"/>
        </w:numPr>
        <w:tabs>
          <w:tab w:val="left" w:pos="1230"/>
        </w:tabs>
        <w:spacing w:before="114"/>
        <w:ind w:right="477" w:hanging="360"/>
        <w:jc w:val="both"/>
        <w:rPr>
          <w:sz w:val="18"/>
        </w:rPr>
      </w:pPr>
      <w:r>
        <w:rPr>
          <w:color w:val="231F20"/>
          <w:sz w:val="18"/>
        </w:rPr>
        <w:t>the entity's impartiality and independence,</w:t>
      </w:r>
    </w:p>
    <w:p w14:paraId="28B0B082" w14:textId="798C501C" w:rsidR="00E1198C" w:rsidRPr="009903A1" w:rsidRDefault="00000000" w:rsidP="00122FB9">
      <w:pPr>
        <w:pStyle w:val="Akapitzlist"/>
        <w:numPr>
          <w:ilvl w:val="0"/>
          <w:numId w:val="24"/>
        </w:numPr>
        <w:tabs>
          <w:tab w:val="left" w:pos="1230"/>
        </w:tabs>
        <w:spacing w:before="118"/>
        <w:ind w:right="477" w:hanging="360"/>
        <w:jc w:val="both"/>
        <w:rPr>
          <w:sz w:val="18"/>
        </w:rPr>
      </w:pPr>
      <w:r>
        <w:rPr>
          <w:color w:val="231F20"/>
          <w:sz w:val="18"/>
        </w:rPr>
        <w:t>the ability to ensure the provision of the required scope of services – with particular emphasis on access to experts providing the highest quality service according to required standards and within the timeframes expected by the Company,</w:t>
      </w:r>
    </w:p>
    <w:p w14:paraId="1D702A78" w14:textId="403DA6C3" w:rsidR="00E1198C" w:rsidRDefault="00000000" w:rsidP="00122FB9">
      <w:pPr>
        <w:pStyle w:val="Akapitzlist"/>
        <w:numPr>
          <w:ilvl w:val="0"/>
          <w:numId w:val="24"/>
        </w:numPr>
        <w:tabs>
          <w:tab w:val="left" w:pos="1230"/>
        </w:tabs>
        <w:spacing w:before="123" w:line="232" w:lineRule="auto"/>
        <w:ind w:right="477"/>
        <w:jc w:val="both"/>
        <w:rPr>
          <w:sz w:val="18"/>
        </w:rPr>
      </w:pPr>
      <w:r>
        <w:rPr>
          <w:color w:val="231F20"/>
          <w:sz w:val="18"/>
        </w:rPr>
        <w:t>the audit firm’s ability to demonstrate that the person designated as the key auditor has the appropriate qualifications to conduct assurance of sustainability reporting,</w:t>
      </w:r>
    </w:p>
    <w:p w14:paraId="7319FCC1" w14:textId="77777777" w:rsidR="00E1198C" w:rsidRDefault="00000000" w:rsidP="00122FB9">
      <w:pPr>
        <w:pStyle w:val="Akapitzlist"/>
        <w:numPr>
          <w:ilvl w:val="0"/>
          <w:numId w:val="24"/>
        </w:numPr>
        <w:tabs>
          <w:tab w:val="left" w:pos="1230"/>
        </w:tabs>
        <w:spacing w:before="137" w:line="232" w:lineRule="auto"/>
        <w:ind w:right="477"/>
        <w:jc w:val="both"/>
        <w:rPr>
          <w:sz w:val="18"/>
        </w:rPr>
      </w:pPr>
      <w:r>
        <w:rPr>
          <w:color w:val="231F20"/>
          <w:sz w:val="18"/>
        </w:rPr>
        <w:t>documented qualifications of the auditor and members of the team conducting assurance of sustainability reporting,</w:t>
      </w:r>
    </w:p>
    <w:p w14:paraId="47027D09" w14:textId="77777777" w:rsidR="00E1198C" w:rsidRDefault="00000000" w:rsidP="00122FB9">
      <w:pPr>
        <w:pStyle w:val="Akapitzlist"/>
        <w:numPr>
          <w:ilvl w:val="0"/>
          <w:numId w:val="24"/>
        </w:numPr>
        <w:tabs>
          <w:tab w:val="left" w:pos="1230"/>
        </w:tabs>
        <w:spacing w:before="120" w:line="244" w:lineRule="auto"/>
        <w:ind w:right="477"/>
        <w:jc w:val="both"/>
        <w:rPr>
          <w:sz w:val="18"/>
        </w:rPr>
      </w:pPr>
      <w:r>
        <w:rPr>
          <w:color w:val="231F20"/>
          <w:sz w:val="18"/>
        </w:rPr>
        <w:t>the willingness of the audit firm and members of the audit team to submit a statement of compliance with the independence requirements referred to in Articles 69-73 of the Act on Auditors prior to commencing the audit,</w:t>
      </w:r>
    </w:p>
    <w:p w14:paraId="4583A51A" w14:textId="77777777" w:rsidR="00E1198C" w:rsidRDefault="00000000" w:rsidP="00122FB9">
      <w:pPr>
        <w:pStyle w:val="Akapitzlist"/>
        <w:numPr>
          <w:ilvl w:val="0"/>
          <w:numId w:val="24"/>
        </w:numPr>
        <w:tabs>
          <w:tab w:val="left" w:pos="1230"/>
        </w:tabs>
        <w:spacing w:before="114" w:line="244" w:lineRule="auto"/>
        <w:ind w:right="477"/>
        <w:jc w:val="both"/>
        <w:rPr>
          <w:sz w:val="18"/>
        </w:rPr>
      </w:pPr>
      <w:r>
        <w:rPr>
          <w:color w:val="231F20"/>
          <w:sz w:val="18"/>
        </w:rPr>
        <w:t>information regarding the audit firm from the annual report of the Polish Agency for Audit Oversight published pursuant to Article 90, Section 5 of the Act on Auditors, Audit Firms and Public Oversight,</w:t>
      </w:r>
    </w:p>
    <w:p w14:paraId="6661A053" w14:textId="77777777" w:rsidR="00E1198C" w:rsidRDefault="00000000" w:rsidP="00122FB9">
      <w:pPr>
        <w:pStyle w:val="Akapitzlist"/>
        <w:numPr>
          <w:ilvl w:val="0"/>
          <w:numId w:val="24"/>
        </w:numPr>
        <w:tabs>
          <w:tab w:val="left" w:pos="1230"/>
        </w:tabs>
        <w:spacing w:before="120" w:line="232" w:lineRule="auto"/>
        <w:ind w:right="477"/>
        <w:jc w:val="both"/>
        <w:rPr>
          <w:sz w:val="18"/>
        </w:rPr>
      </w:pPr>
      <w:r>
        <w:rPr>
          <w:color w:val="231F20"/>
          <w:sz w:val="18"/>
        </w:rPr>
        <w:t>the key auditor's possibility to participate in meetings of the Supervisory Board and the Audit Committee, held at times convenient for the members of these bodies,</w:t>
      </w:r>
    </w:p>
    <w:p w14:paraId="4A506DBD" w14:textId="77777777" w:rsidR="00E1198C" w:rsidRDefault="00000000" w:rsidP="00122FB9">
      <w:pPr>
        <w:pStyle w:val="Akapitzlist"/>
        <w:numPr>
          <w:ilvl w:val="0"/>
          <w:numId w:val="24"/>
        </w:numPr>
        <w:tabs>
          <w:tab w:val="left" w:pos="1230"/>
        </w:tabs>
        <w:spacing w:before="120" w:line="244" w:lineRule="auto"/>
        <w:ind w:right="477"/>
        <w:jc w:val="both"/>
        <w:rPr>
          <w:sz w:val="18"/>
        </w:rPr>
      </w:pPr>
      <w:r>
        <w:rPr>
          <w:color w:val="231F20"/>
          <w:sz w:val="18"/>
        </w:rPr>
        <w:t>the price proposed by the audit firm, which should not be excessive compared to prices for such services offered on the market.</w:t>
      </w:r>
    </w:p>
    <w:p w14:paraId="0A8EC07C" w14:textId="77777777" w:rsidR="00E1198C" w:rsidRDefault="00E1198C">
      <w:pPr>
        <w:pStyle w:val="Tekstpodstawowy"/>
      </w:pPr>
    </w:p>
    <w:p w14:paraId="217AF9D7" w14:textId="589242D5" w:rsidR="00E1198C" w:rsidRDefault="00000000">
      <w:pPr>
        <w:pStyle w:val="Nagwek5"/>
      </w:pPr>
      <w:r>
        <w:rPr>
          <w:color w:val="F07D00"/>
        </w:rPr>
        <w:t xml:space="preserve">A brief description of the process of selecting </w:t>
      </w:r>
      <w:r w:rsidR="008E7DA7">
        <w:rPr>
          <w:color w:val="F07D00"/>
        </w:rPr>
        <w:t>the</w:t>
      </w:r>
      <w:r>
        <w:rPr>
          <w:color w:val="F07D00"/>
        </w:rPr>
        <w:t xml:space="preserve"> audit firm</w:t>
      </w:r>
    </w:p>
    <w:p w14:paraId="05CF67B4" w14:textId="77777777" w:rsidR="00E1198C" w:rsidRDefault="00E1198C">
      <w:pPr>
        <w:sectPr w:rsidR="00E1198C">
          <w:pgSz w:w="11900" w:h="16840"/>
          <w:pgMar w:top="820" w:right="320" w:bottom="920" w:left="300" w:header="0" w:footer="726" w:gutter="0"/>
          <w:cols w:space="708"/>
        </w:sectPr>
      </w:pPr>
    </w:p>
    <w:p w14:paraId="00CA1985" w14:textId="77777777" w:rsidR="00E1198C" w:rsidRDefault="00000000">
      <w:pPr>
        <w:pStyle w:val="Tekstpodstawowy"/>
        <w:spacing w:before="61" w:line="276" w:lineRule="auto"/>
        <w:ind w:left="510" w:right="476"/>
        <w:jc w:val="both"/>
      </w:pPr>
      <w:r>
        <w:rPr>
          <w:color w:val="231F20"/>
        </w:rPr>
        <w:lastRenderedPageBreak/>
        <w:t>The audit firm selection procedure is initiated by the Audit Committee. Based on the Audit Committee's guidelines, the Company's Management Board sends a request for proposal to a minimum of four audit firms, provided that these entities meet the requirements regarding mandatory rotation of the audit firm and key auditor. A request for quotation is not prepared if the firm has a valid contract for audit services in the given year. After the offer submission deadline, the collected proposals from audit firms are submitted to the Company's Audit Committee. The Company's Management Board responds to any inquiries from bidders and conducts direct discussions with these entities to clarify the received proposals and agree on the final offers. During the selection procedure, the Management Board and the Audit Committee may conduct direct negotiations with interested bidders. The Company's Audit Committee analyzes the offers submitted by audit firms, taking into account the findings and conclusions contained in the current annual report published pursuant to Article 90, Section 5 of the Act on Auditors, Audit Firms and Public Oversight by the Polish Agency for Audit Oversight, and submits a recommendation for the selection of an audit firm to which it proposes to entrust the statutory audit and/or conduct assurance of sustainability reporting – in written or oral form, recorded in the minutes, at a meeting of the Supervisory Board. The audit firm which is to audit the financial statements is selected by the Company's Supervisory Board, in accordance with the provisions of the Company's Articles of Association. The audit firm for assurance of sustainability reporting is selected by a resolution of the Supervisory Board, with the reservation that until the authorization of the Supervisory Board to select an audit firm for assurance of sustainability reporting is incorporated into the Company's Articles of Association, the selection in this regard is made by the General Meeting of the Company. The audit firm should be selected by the Supervisory Board by the end of the second quarter of the fiscal year for which the financial statements will be audited.</w:t>
      </w:r>
    </w:p>
    <w:p w14:paraId="46CF49C6" w14:textId="179F7C4C" w:rsidR="00E1198C" w:rsidRDefault="00000000" w:rsidP="009903A1">
      <w:pPr>
        <w:pStyle w:val="Tekstpodstawowy"/>
        <w:spacing w:before="200" w:line="276" w:lineRule="auto"/>
        <w:ind w:left="510" w:right="474"/>
        <w:jc w:val="both"/>
      </w:pPr>
      <w:r>
        <w:t>T</w:t>
      </w:r>
      <w:r>
        <w:rPr>
          <w:color w:val="231F20"/>
        </w:rPr>
        <w:t xml:space="preserve">he audit of the Company's financial statements for 2024 was entrusted to  Ernst &amp; Young </w:t>
      </w:r>
      <w:proofErr w:type="spellStart"/>
      <w:r>
        <w:rPr>
          <w:color w:val="231F20"/>
        </w:rPr>
        <w:t>Audyt</w:t>
      </w:r>
      <w:proofErr w:type="spellEnd"/>
      <w:r>
        <w:rPr>
          <w:color w:val="231F20"/>
        </w:rPr>
        <w:t xml:space="preserve"> Polska </w:t>
      </w:r>
      <w:proofErr w:type="spellStart"/>
      <w:r>
        <w:rPr>
          <w:color w:val="231F20"/>
        </w:rPr>
        <w:t>spółka</w:t>
      </w:r>
      <w:proofErr w:type="spellEnd"/>
      <w:r>
        <w:rPr>
          <w:color w:val="231F20"/>
        </w:rPr>
        <w:t xml:space="preserve"> </w:t>
      </w:r>
      <w:proofErr w:type="spellStart"/>
      <w:r>
        <w:rPr>
          <w:color w:val="231F20"/>
        </w:rPr>
        <w:t>komandytowa</w:t>
      </w:r>
      <w:proofErr w:type="spellEnd"/>
      <w:r>
        <w:t xml:space="preserve">. In the scope of other permitted non-audit services, in 2024, this entity provided the Company with a service providing reasonable assurance in the scope of the remuneration report of members of the Management Board and Supervisory Board of Celon Pharma S.A. for 2023. The Audit Committee’s recommendation regarding the selection </w:t>
      </w:r>
      <w:r>
        <w:rPr>
          <w:color w:val="231F20"/>
        </w:rPr>
        <w:t>of an audit firm to audit the Company’s financial statements for 2024 met the applicable conditions and was drawn up as a result of the Company's procedure for the selection of an audit firm meeting the applicable criteria.</w:t>
      </w:r>
    </w:p>
    <w:p w14:paraId="194E12DD" w14:textId="77777777" w:rsidR="00E1198C" w:rsidRDefault="00E1198C">
      <w:pPr>
        <w:pStyle w:val="Tekstpodstawowy"/>
        <w:spacing w:before="12"/>
      </w:pPr>
    </w:p>
    <w:p w14:paraId="39BE1EBE" w14:textId="53602A30" w:rsidR="00E1198C" w:rsidRPr="00122FB9" w:rsidRDefault="00000000" w:rsidP="00122FB9">
      <w:pPr>
        <w:pStyle w:val="Akapitzlist"/>
        <w:numPr>
          <w:ilvl w:val="1"/>
          <w:numId w:val="43"/>
        </w:numPr>
        <w:tabs>
          <w:tab w:val="left" w:pos="1087"/>
        </w:tabs>
        <w:ind w:left="1087" w:hanging="577"/>
        <w:jc w:val="both"/>
        <w:rPr>
          <w:sz w:val="18"/>
        </w:rPr>
      </w:pPr>
      <w:r>
        <w:rPr>
          <w:color w:val="F07D00"/>
          <w:sz w:val="18"/>
        </w:rPr>
        <w:t>General Meeting of Celon Pharma S.A., its key powers and a description of the shareholders’ rights and the manner of their exercising</w:t>
      </w:r>
    </w:p>
    <w:p w14:paraId="4DAE2F59" w14:textId="77777777" w:rsidR="00E1198C" w:rsidRDefault="00000000">
      <w:pPr>
        <w:pStyle w:val="Tekstpodstawowy"/>
        <w:spacing w:line="369" w:lineRule="auto"/>
        <w:ind w:left="510" w:right="4357"/>
      </w:pPr>
      <w:r>
        <w:rPr>
          <w:color w:val="231F20"/>
        </w:rPr>
        <w:t>The General Meeting operates on the basis of the Commercial Companies Code and the Articles of Association of the Company. The competences of the General Meeting include:</w:t>
      </w:r>
    </w:p>
    <w:p w14:paraId="2E5B3862" w14:textId="77777777" w:rsidR="00E1198C" w:rsidRDefault="00000000">
      <w:pPr>
        <w:pStyle w:val="Akapitzlist"/>
        <w:numPr>
          <w:ilvl w:val="0"/>
          <w:numId w:val="23"/>
        </w:numPr>
        <w:tabs>
          <w:tab w:val="left" w:pos="1545"/>
        </w:tabs>
        <w:spacing w:line="244" w:lineRule="auto"/>
        <w:ind w:right="476" w:hanging="214"/>
        <w:rPr>
          <w:sz w:val="18"/>
        </w:rPr>
      </w:pPr>
      <w:r>
        <w:rPr>
          <w:color w:val="231F20"/>
          <w:sz w:val="18"/>
        </w:rPr>
        <w:t>considering and approving the Management Board’s report on the Company’s operations, financial statements for the Company’s previous financial year and acknowledgment of the fulfillment of duties of the members of the Company’s bodies,</w:t>
      </w:r>
    </w:p>
    <w:p w14:paraId="7C8ED347" w14:textId="77777777" w:rsidR="00E1198C" w:rsidRDefault="00000000">
      <w:pPr>
        <w:pStyle w:val="Akapitzlist"/>
        <w:numPr>
          <w:ilvl w:val="0"/>
          <w:numId w:val="23"/>
        </w:numPr>
        <w:tabs>
          <w:tab w:val="left" w:pos="1545"/>
        </w:tabs>
        <w:spacing w:before="113" w:line="244" w:lineRule="auto"/>
        <w:ind w:right="478" w:hanging="214"/>
        <w:rPr>
          <w:sz w:val="18"/>
        </w:rPr>
      </w:pPr>
      <w:r>
        <w:rPr>
          <w:color w:val="231F20"/>
          <w:sz w:val="18"/>
        </w:rPr>
        <w:t>any provisions relating to claims for compensation for damage caused by the establishment of the Company or the exercise of management or supervision,</w:t>
      </w:r>
    </w:p>
    <w:p w14:paraId="0E4C362B" w14:textId="77777777" w:rsidR="00E1198C" w:rsidRDefault="00000000">
      <w:pPr>
        <w:pStyle w:val="Akapitzlist"/>
        <w:numPr>
          <w:ilvl w:val="0"/>
          <w:numId w:val="23"/>
        </w:numPr>
        <w:tabs>
          <w:tab w:val="left" w:pos="1664"/>
        </w:tabs>
        <w:spacing w:before="114"/>
        <w:ind w:left="1664" w:hanging="333"/>
        <w:rPr>
          <w:sz w:val="18"/>
        </w:rPr>
      </w:pPr>
      <w:r>
        <w:rPr>
          <w:color w:val="231F20"/>
          <w:sz w:val="18"/>
        </w:rPr>
        <w:t>any decisions related to the profit obtained or the loss incurred by the Company,</w:t>
      </w:r>
    </w:p>
    <w:p w14:paraId="1CC6CE57" w14:textId="77777777" w:rsidR="00E1198C" w:rsidRDefault="00000000">
      <w:pPr>
        <w:pStyle w:val="Akapitzlist"/>
        <w:numPr>
          <w:ilvl w:val="0"/>
          <w:numId w:val="23"/>
        </w:numPr>
        <w:tabs>
          <w:tab w:val="left" w:pos="1683"/>
        </w:tabs>
        <w:spacing w:before="118"/>
        <w:ind w:left="1683" w:hanging="352"/>
        <w:rPr>
          <w:sz w:val="18"/>
        </w:rPr>
      </w:pPr>
      <w:r>
        <w:rPr>
          <w:color w:val="231F20"/>
          <w:sz w:val="18"/>
        </w:rPr>
        <w:t>dissolving the Company and placing it in liquidation,</w:t>
      </w:r>
    </w:p>
    <w:p w14:paraId="11E6945C" w14:textId="77777777" w:rsidR="00E1198C" w:rsidRDefault="00000000">
      <w:pPr>
        <w:pStyle w:val="Akapitzlist"/>
        <w:numPr>
          <w:ilvl w:val="0"/>
          <w:numId w:val="23"/>
        </w:numPr>
        <w:tabs>
          <w:tab w:val="left" w:pos="1683"/>
        </w:tabs>
        <w:spacing w:before="118"/>
        <w:ind w:left="1683" w:hanging="352"/>
        <w:rPr>
          <w:sz w:val="18"/>
        </w:rPr>
      </w:pPr>
      <w:r>
        <w:rPr>
          <w:color w:val="231F20"/>
          <w:sz w:val="18"/>
        </w:rPr>
        <w:t>merger, division, and transformation of the Company,</w:t>
      </w:r>
    </w:p>
    <w:p w14:paraId="55D63C1A" w14:textId="77777777" w:rsidR="00E1198C" w:rsidRDefault="00000000">
      <w:pPr>
        <w:pStyle w:val="Akapitzlist"/>
        <w:numPr>
          <w:ilvl w:val="0"/>
          <w:numId w:val="23"/>
        </w:numPr>
        <w:tabs>
          <w:tab w:val="left" w:pos="1683"/>
        </w:tabs>
        <w:spacing w:before="129"/>
        <w:ind w:left="1683" w:hanging="352"/>
        <w:rPr>
          <w:sz w:val="18"/>
        </w:rPr>
      </w:pPr>
      <w:r>
        <w:rPr>
          <w:color w:val="231F20"/>
          <w:sz w:val="18"/>
        </w:rPr>
        <w:t>determining the principles of remuneration of Members of the Supervisory Board,</w:t>
      </w:r>
    </w:p>
    <w:p w14:paraId="16CC9182" w14:textId="77777777" w:rsidR="00E1198C" w:rsidRDefault="00000000">
      <w:pPr>
        <w:pStyle w:val="Akapitzlist"/>
        <w:numPr>
          <w:ilvl w:val="0"/>
          <w:numId w:val="23"/>
        </w:numPr>
        <w:tabs>
          <w:tab w:val="left" w:pos="1683"/>
        </w:tabs>
        <w:spacing w:before="118"/>
        <w:ind w:left="1683" w:hanging="352"/>
        <w:rPr>
          <w:sz w:val="18"/>
        </w:rPr>
      </w:pPr>
      <w:r>
        <w:rPr>
          <w:color w:val="231F20"/>
          <w:sz w:val="18"/>
        </w:rPr>
        <w:t>amending the Company's Articles of Association,</w:t>
      </w:r>
    </w:p>
    <w:p w14:paraId="40F6D675" w14:textId="77777777" w:rsidR="00E1198C" w:rsidRDefault="00000000">
      <w:pPr>
        <w:pStyle w:val="Akapitzlist"/>
        <w:numPr>
          <w:ilvl w:val="0"/>
          <w:numId w:val="23"/>
        </w:numPr>
        <w:tabs>
          <w:tab w:val="left" w:pos="1683"/>
        </w:tabs>
        <w:spacing w:before="118"/>
        <w:ind w:left="1683" w:hanging="352"/>
        <w:rPr>
          <w:sz w:val="18"/>
        </w:rPr>
      </w:pPr>
      <w:r>
        <w:rPr>
          <w:color w:val="231F20"/>
          <w:sz w:val="18"/>
        </w:rPr>
        <w:t>increasing or decreasing the Company’s share capital,</w:t>
      </w:r>
    </w:p>
    <w:p w14:paraId="588E231D" w14:textId="77777777" w:rsidR="00E1198C" w:rsidRDefault="00000000">
      <w:pPr>
        <w:pStyle w:val="Akapitzlist"/>
        <w:numPr>
          <w:ilvl w:val="0"/>
          <w:numId w:val="23"/>
        </w:numPr>
        <w:tabs>
          <w:tab w:val="left" w:pos="1545"/>
        </w:tabs>
        <w:spacing w:before="118" w:line="244" w:lineRule="auto"/>
        <w:ind w:right="477" w:hanging="214"/>
        <w:rPr>
          <w:sz w:val="18"/>
        </w:rPr>
      </w:pPr>
      <w:r>
        <w:rPr>
          <w:color w:val="231F20"/>
          <w:sz w:val="18"/>
        </w:rPr>
        <w:t>consenting to buy, sell or otherwise acquire, dispose of or encumber the Company’s enterprise, an organized part of that enterprise or any asset of the Company with a market value exceeding PLN 1 billion,</w:t>
      </w:r>
    </w:p>
    <w:p w14:paraId="5FE5FCDB" w14:textId="77777777" w:rsidR="00E1198C" w:rsidRDefault="00000000">
      <w:pPr>
        <w:pStyle w:val="Akapitzlist"/>
        <w:numPr>
          <w:ilvl w:val="0"/>
          <w:numId w:val="23"/>
        </w:numPr>
        <w:tabs>
          <w:tab w:val="left" w:pos="1764"/>
        </w:tabs>
        <w:spacing w:before="114"/>
        <w:ind w:left="1764" w:hanging="433"/>
        <w:rPr>
          <w:sz w:val="18"/>
        </w:rPr>
      </w:pPr>
      <w:r>
        <w:rPr>
          <w:color w:val="231F20"/>
          <w:sz w:val="18"/>
        </w:rPr>
        <w:t>appointing and dismissing members of the Supervisory Board of the Company and determining the number of members of the Supervisory Board.</w:t>
      </w:r>
    </w:p>
    <w:p w14:paraId="152237ED" w14:textId="77777777" w:rsidR="00E1198C" w:rsidRDefault="00000000">
      <w:pPr>
        <w:pStyle w:val="Tekstpodstawowy"/>
        <w:spacing w:before="118"/>
        <w:ind w:left="510" w:right="476"/>
        <w:jc w:val="both"/>
      </w:pPr>
      <w:r>
        <w:rPr>
          <w:color w:val="231F20"/>
        </w:rPr>
        <w:t>The General Meeting may adopt resolutions only in matters covered by the agenda, unless the entire share capital is represented at the General Meeting, and none of the persons present objected to the adoption of the resolution. Motions of administrative nature may also be adopted despite not having been placed on the agenda.</w:t>
      </w:r>
    </w:p>
    <w:p w14:paraId="5CC834D2" w14:textId="4CF1636F" w:rsidR="00E1198C" w:rsidRDefault="00000000">
      <w:pPr>
        <w:pStyle w:val="Tekstpodstawowy"/>
        <w:spacing w:before="117"/>
        <w:ind w:left="510" w:right="476"/>
        <w:jc w:val="both"/>
      </w:pPr>
      <w:r>
        <w:rPr>
          <w:noProof/>
        </w:rPr>
        <w:drawing>
          <wp:anchor distT="0" distB="0" distL="0" distR="0" simplePos="0" relativeHeight="251655680" behindDoc="1" locked="0" layoutInCell="1" allowOverlap="1" wp14:anchorId="5803D1BD" wp14:editId="25921335">
            <wp:simplePos x="0" y="0"/>
            <wp:positionH relativeFrom="page">
              <wp:posOffset>514506</wp:posOffset>
            </wp:positionH>
            <wp:positionV relativeFrom="paragraph">
              <wp:posOffset>203557</wp:posOffset>
            </wp:positionV>
            <wp:extent cx="6531379" cy="142918"/>
            <wp:effectExtent l="0" t="0" r="0" b="0"/>
            <wp:wrapNone/>
            <wp:docPr id="71" name="Image 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1" name="Image 71"/>
                    <pic:cNvPicPr/>
                  </pic:nvPicPr>
                  <pic:blipFill>
                    <a:blip r:embed="rId19" cstate="print"/>
                    <a:stretch>
                      <a:fillRect/>
                    </a:stretch>
                  </pic:blipFill>
                  <pic:spPr>
                    <a:xfrm>
                      <a:off x="0" y="0"/>
                      <a:ext cx="6531379" cy="142918"/>
                    </a:xfrm>
                    <a:prstGeom prst="rect">
                      <a:avLst/>
                    </a:prstGeom>
                  </pic:spPr>
                </pic:pic>
              </a:graphicData>
            </a:graphic>
          </wp:anchor>
        </w:drawing>
      </w:r>
      <w:r>
        <w:rPr>
          <w:color w:val="231F20"/>
        </w:rPr>
        <w:t xml:space="preserve">The Rules of Procedure of the General Meeting of the Company are available on the Company’s website at </w:t>
      </w:r>
      <w:r>
        <w:rPr>
          <w:color w:val="0462C1"/>
        </w:rPr>
        <w:t>https://celonpharma.com/dokumenty- corporate/</w:t>
      </w:r>
      <w:r>
        <w:rPr>
          <w:color w:val="231F20"/>
        </w:rPr>
        <w:t>. Detailed rules for participation in the General Meeting of Celon Pharma using electronic means of communication are set out in the Annex to Resolution No. 21 of the General Meeting of the Company dated May 19, 2020.</w:t>
      </w:r>
    </w:p>
    <w:p w14:paraId="079F3F33" w14:textId="77777777" w:rsidR="00E1198C" w:rsidRDefault="00000000">
      <w:pPr>
        <w:pStyle w:val="Tekstpodstawowy"/>
        <w:spacing w:before="118" w:line="244" w:lineRule="auto"/>
        <w:ind w:left="510" w:right="483"/>
        <w:jc w:val="both"/>
      </w:pPr>
      <w:r>
        <w:rPr>
          <w:color w:val="231F20"/>
        </w:rPr>
        <w:t>A shareholder may participate in the General Meeting and exercise the right to vote personally or through a proxy. In addition to authorized shareholders, the following persons have the right to participate in the General Meeting:</w:t>
      </w:r>
    </w:p>
    <w:p w14:paraId="03483204" w14:textId="77777777" w:rsidR="00E1198C" w:rsidRDefault="00000000">
      <w:pPr>
        <w:pStyle w:val="Akapitzlist"/>
        <w:numPr>
          <w:ilvl w:val="0"/>
          <w:numId w:val="22"/>
        </w:numPr>
        <w:tabs>
          <w:tab w:val="left" w:pos="1502"/>
          <w:tab w:val="left" w:pos="1511"/>
        </w:tabs>
        <w:spacing w:before="132" w:line="228" w:lineRule="auto"/>
        <w:ind w:right="486" w:hanging="439"/>
        <w:rPr>
          <w:sz w:val="18"/>
        </w:rPr>
      </w:pPr>
      <w:r>
        <w:rPr>
          <w:color w:val="231F20"/>
          <w:sz w:val="18"/>
        </w:rPr>
        <w:t>pledgees or users of shares entitled to exercise voting rights, provided that the conditions set out in the Commercial Companies Code or other acts of law and the Articles of Association are met,</w:t>
      </w:r>
    </w:p>
    <w:p w14:paraId="03B3768F" w14:textId="77777777" w:rsidR="00E1198C" w:rsidRDefault="00000000">
      <w:pPr>
        <w:pStyle w:val="Akapitzlist"/>
        <w:numPr>
          <w:ilvl w:val="0"/>
          <w:numId w:val="22"/>
        </w:numPr>
        <w:tabs>
          <w:tab w:val="left" w:pos="1502"/>
        </w:tabs>
        <w:spacing w:before="113"/>
        <w:ind w:left="1502"/>
        <w:rPr>
          <w:sz w:val="18"/>
        </w:rPr>
      </w:pPr>
      <w:r>
        <w:rPr>
          <w:color w:val="231F20"/>
          <w:sz w:val="18"/>
        </w:rPr>
        <w:t>members of the Management Board and the Supervisory Board of the Company,</w:t>
      </w:r>
    </w:p>
    <w:p w14:paraId="16D7FAC9" w14:textId="77777777" w:rsidR="00E1198C" w:rsidRDefault="00E1198C">
      <w:pPr>
        <w:rPr>
          <w:sz w:val="18"/>
        </w:rPr>
        <w:sectPr w:rsidR="00E1198C">
          <w:pgSz w:w="11900" w:h="16840"/>
          <w:pgMar w:top="820" w:right="320" w:bottom="920" w:left="300" w:header="0" w:footer="726" w:gutter="0"/>
          <w:cols w:space="708"/>
        </w:sectPr>
      </w:pPr>
    </w:p>
    <w:p w14:paraId="76BCA947" w14:textId="77777777" w:rsidR="00E1198C" w:rsidRDefault="00000000">
      <w:pPr>
        <w:pStyle w:val="Akapitzlist"/>
        <w:numPr>
          <w:ilvl w:val="0"/>
          <w:numId w:val="22"/>
        </w:numPr>
        <w:tabs>
          <w:tab w:val="left" w:pos="1502"/>
          <w:tab w:val="left" w:pos="1511"/>
        </w:tabs>
        <w:spacing w:before="119" w:line="228" w:lineRule="auto"/>
        <w:ind w:right="480" w:hanging="439"/>
        <w:rPr>
          <w:sz w:val="18"/>
        </w:rPr>
      </w:pPr>
      <w:r>
        <w:rPr>
          <w:color w:val="231F20"/>
          <w:sz w:val="18"/>
        </w:rPr>
        <w:lastRenderedPageBreak/>
        <w:t>advisors or experts invited by the body or entity convening the General Meeting or admitted to the participation by the Chairman,</w:t>
      </w:r>
    </w:p>
    <w:p w14:paraId="3EB7098F" w14:textId="77777777" w:rsidR="00E1198C" w:rsidRDefault="00000000">
      <w:pPr>
        <w:pStyle w:val="Akapitzlist"/>
        <w:numPr>
          <w:ilvl w:val="0"/>
          <w:numId w:val="22"/>
        </w:numPr>
        <w:tabs>
          <w:tab w:val="left" w:pos="1502"/>
        </w:tabs>
        <w:spacing w:before="113"/>
        <w:ind w:left="1502"/>
        <w:rPr>
          <w:sz w:val="18"/>
        </w:rPr>
      </w:pPr>
      <w:r>
        <w:rPr>
          <w:color w:val="231F20"/>
          <w:sz w:val="18"/>
        </w:rPr>
        <w:t>a notary drawing up the minutes of the General Meeting,</w:t>
      </w:r>
    </w:p>
    <w:p w14:paraId="0EF67F74" w14:textId="77777777" w:rsidR="00E1198C" w:rsidRDefault="00000000">
      <w:pPr>
        <w:pStyle w:val="Akapitzlist"/>
        <w:numPr>
          <w:ilvl w:val="0"/>
          <w:numId w:val="22"/>
        </w:numPr>
        <w:tabs>
          <w:tab w:val="left" w:pos="1502"/>
        </w:tabs>
        <w:spacing w:before="105"/>
        <w:ind w:left="1502"/>
        <w:rPr>
          <w:sz w:val="18"/>
        </w:rPr>
      </w:pPr>
      <w:r>
        <w:rPr>
          <w:color w:val="231F20"/>
          <w:sz w:val="18"/>
        </w:rPr>
        <w:t>persons providing technical support for the General Meeting,</w:t>
      </w:r>
    </w:p>
    <w:p w14:paraId="21844A14" w14:textId="77777777" w:rsidR="00E1198C" w:rsidRDefault="00000000">
      <w:pPr>
        <w:pStyle w:val="Akapitzlist"/>
        <w:numPr>
          <w:ilvl w:val="0"/>
          <w:numId w:val="22"/>
        </w:numPr>
        <w:tabs>
          <w:tab w:val="left" w:pos="1502"/>
        </w:tabs>
        <w:spacing w:before="105"/>
        <w:ind w:left="1502"/>
        <w:rPr>
          <w:sz w:val="18"/>
        </w:rPr>
      </w:pPr>
      <w:r>
        <w:rPr>
          <w:color w:val="231F20"/>
          <w:sz w:val="18"/>
        </w:rPr>
        <w:t>other persons who obtained the General Meeting's consent to participate.</w:t>
      </w:r>
    </w:p>
    <w:p w14:paraId="6B1A98EF" w14:textId="77777777" w:rsidR="00E1198C" w:rsidRDefault="00000000">
      <w:pPr>
        <w:pStyle w:val="Tekstpodstawowy"/>
        <w:spacing w:before="113"/>
        <w:ind w:left="510" w:right="472"/>
        <w:jc w:val="both"/>
      </w:pPr>
      <w:r>
        <w:rPr>
          <w:color w:val="231F20"/>
        </w:rPr>
        <w:t>Shareholders participating at the General Meeting confirm their presence with their own signature placed on the attendance list and receive voting cards or voting devices. Proxies sign their first and last name by the name of their principal, indicating that they act as proxies. The General Meeting is opened by the Chairman or another member of the Supervisory Board, and in their absence, by the President of the Management Board or by a person appointed by the Management Board. Then, subject to the exceptions provided for in the special provisions, the Chairman of the Meeting is elected from among the persons entitled to participate in the General Meeting. The Chairman of the General Meeting must be a person entitled to vote at the General Meeting, elected by voting from among candidates nominated by persons entitled to participate in the General Meeting with the right to vote.</w:t>
      </w:r>
    </w:p>
    <w:p w14:paraId="766A0773" w14:textId="77777777" w:rsidR="00E1198C" w:rsidRDefault="00000000">
      <w:pPr>
        <w:pStyle w:val="Tekstpodstawowy"/>
        <w:spacing w:before="117"/>
        <w:ind w:left="510" w:right="477"/>
        <w:jc w:val="both"/>
      </w:pPr>
      <w:r>
        <w:rPr>
          <w:color w:val="231F20"/>
        </w:rPr>
        <w:t>Resolutions of the General Meeting are adopted by an absolute majority of votes, unless the provisions of the Commercial Companies Code (“CCC”), another applicable law or the Articles of Association provide otherwise. The Chairman announces the results of the vote, which is then entered in the minutes, and also confirms whether or not a resolution has been adopted.</w:t>
      </w:r>
    </w:p>
    <w:p w14:paraId="5CACC614" w14:textId="77777777" w:rsidR="00E1198C" w:rsidRDefault="00000000">
      <w:pPr>
        <w:pStyle w:val="Tekstpodstawowy"/>
        <w:spacing w:before="117"/>
        <w:ind w:left="510"/>
        <w:jc w:val="both"/>
      </w:pPr>
      <w:r>
        <w:rPr>
          <w:color w:val="231F20"/>
        </w:rPr>
        <w:t>The shareholders of Celon Pharma S.A. are entitled in particular to the following rights:</w:t>
      </w:r>
    </w:p>
    <w:p w14:paraId="6B37DE7B" w14:textId="77777777" w:rsidR="00E1198C" w:rsidRDefault="00000000">
      <w:pPr>
        <w:pStyle w:val="Akapitzlist"/>
        <w:numPr>
          <w:ilvl w:val="0"/>
          <w:numId w:val="21"/>
        </w:numPr>
        <w:tabs>
          <w:tab w:val="left" w:pos="1525"/>
          <w:tab w:val="left" w:pos="1534"/>
        </w:tabs>
        <w:spacing w:before="118"/>
        <w:ind w:right="472" w:hanging="203"/>
        <w:jc w:val="both"/>
        <w:rPr>
          <w:sz w:val="18"/>
        </w:rPr>
      </w:pPr>
      <w:r>
        <w:rPr>
          <w:color w:val="231F20"/>
          <w:sz w:val="18"/>
        </w:rPr>
        <w:t>The right to a dividend, i.e., the share in the profit of the company disclosed in the financial statements audited by the statutory auditor, allocated by the general meeting for payment to shareholders (Article 347 of the CCC). The profit is distributed in relation to the number of shares. The Articles of Association do not provide for a preference in respect of this right, hence each share shall receive a dividend of the same amount. Pursuant to § 23 of the Articles of Association and Article 348 of the CCC, the dividend day and the dividend payment date are determined by the Ordinary General Meeting. The dividend day may be set at a date not earlier than five days and no later than three months following the date of adoption of the resolution. In the event of a resolution on the allocation of profit for distribution, shareholders acquire a claim for dividend payment. This claim becomes due on the date indicated in the resolution and is subject to statute of limitations on general terms. Shares of the Company are not associated with any other right to share in its profits.</w:t>
      </w:r>
    </w:p>
    <w:p w14:paraId="595F0021" w14:textId="77777777" w:rsidR="00E1198C" w:rsidRDefault="00000000">
      <w:pPr>
        <w:pStyle w:val="Akapitzlist"/>
        <w:numPr>
          <w:ilvl w:val="0"/>
          <w:numId w:val="21"/>
        </w:numPr>
        <w:tabs>
          <w:tab w:val="left" w:pos="1525"/>
        </w:tabs>
        <w:spacing w:before="121"/>
        <w:ind w:left="1525" w:hanging="194"/>
        <w:rPr>
          <w:sz w:val="18"/>
        </w:rPr>
      </w:pPr>
      <w:r>
        <w:rPr>
          <w:color w:val="231F20"/>
          <w:sz w:val="18"/>
        </w:rPr>
        <w:t>The right to dispose of the shares held.</w:t>
      </w:r>
    </w:p>
    <w:p w14:paraId="2C94DE1C" w14:textId="77777777" w:rsidR="00E1198C" w:rsidRDefault="00000000">
      <w:pPr>
        <w:pStyle w:val="Akapitzlist"/>
        <w:numPr>
          <w:ilvl w:val="0"/>
          <w:numId w:val="21"/>
        </w:numPr>
        <w:tabs>
          <w:tab w:val="left" w:pos="1525"/>
          <w:tab w:val="left" w:pos="1534"/>
        </w:tabs>
        <w:spacing w:before="129"/>
        <w:ind w:right="472" w:hanging="203"/>
        <w:jc w:val="both"/>
        <w:rPr>
          <w:sz w:val="18"/>
        </w:rPr>
      </w:pPr>
      <w:r>
        <w:rPr>
          <w:color w:val="231F20"/>
          <w:sz w:val="18"/>
        </w:rPr>
        <w:t>Pre-emptive right - i.e. the right of priority in taking up new shares in proportion to the number of shares held. Pursuant to the rules provided for in Article 433 of the CCC, to secure the best interest of the Company, a shareholder may be deprived of this right, in part or in whole, by a resolution of the general meeting adopted by a majority of at least four-fifths of votes. Shareholders may be deprived the pre-emptive right provided this event had been announced on the agenda of the general meeting. These requirements do not apply when the resolution on increasing the share capital provides that new shares are to be taken up in full by a financial institution (guarantor of the issue), with the obligation to offer them to shareholders in order to enable them to exercise the pre-emptive right on the terms specified in the resolution and when the resolution provides that new shares are to be subscribed for by the guarantor of the issue where the pre-emptive shareholders do not take up a part of or all of the shares offered to them.</w:t>
      </w:r>
    </w:p>
    <w:p w14:paraId="6619B621" w14:textId="77777777" w:rsidR="00E1198C" w:rsidRDefault="00000000">
      <w:pPr>
        <w:pStyle w:val="Akapitzlist"/>
        <w:numPr>
          <w:ilvl w:val="0"/>
          <w:numId w:val="21"/>
        </w:numPr>
        <w:tabs>
          <w:tab w:val="left" w:pos="1525"/>
        </w:tabs>
        <w:spacing w:before="116"/>
        <w:ind w:left="1525" w:hanging="194"/>
        <w:rPr>
          <w:sz w:val="18"/>
        </w:rPr>
      </w:pPr>
      <w:r>
        <w:rPr>
          <w:color w:val="231F20"/>
          <w:sz w:val="18"/>
        </w:rPr>
        <w:t>The right to encumber the shares held by a pledge or right of use.</w:t>
      </w:r>
    </w:p>
    <w:p w14:paraId="036D07A7" w14:textId="77777777" w:rsidR="00E1198C" w:rsidRDefault="00000000">
      <w:pPr>
        <w:pStyle w:val="Akapitzlist"/>
        <w:numPr>
          <w:ilvl w:val="0"/>
          <w:numId w:val="21"/>
        </w:numPr>
        <w:tabs>
          <w:tab w:val="left" w:pos="1525"/>
        </w:tabs>
        <w:spacing w:before="118"/>
        <w:ind w:left="1525" w:hanging="194"/>
        <w:rPr>
          <w:sz w:val="18"/>
        </w:rPr>
      </w:pPr>
      <w:r>
        <w:rPr>
          <w:color w:val="231F20"/>
          <w:sz w:val="18"/>
        </w:rPr>
        <w:t>The right to convert registered shares into bearer shares.</w:t>
      </w:r>
    </w:p>
    <w:p w14:paraId="08CB4838" w14:textId="77777777" w:rsidR="00E1198C" w:rsidRDefault="00000000">
      <w:pPr>
        <w:pStyle w:val="Akapitzlist"/>
        <w:numPr>
          <w:ilvl w:val="0"/>
          <w:numId w:val="21"/>
        </w:numPr>
        <w:tabs>
          <w:tab w:val="left" w:pos="1525"/>
        </w:tabs>
        <w:spacing w:before="118"/>
        <w:ind w:left="1525" w:hanging="194"/>
        <w:rPr>
          <w:sz w:val="18"/>
        </w:rPr>
      </w:pPr>
      <w:r>
        <w:rPr>
          <w:color w:val="231F20"/>
          <w:sz w:val="18"/>
        </w:rPr>
        <w:t>Rights relating to the general meeting:</w:t>
      </w:r>
    </w:p>
    <w:p w14:paraId="799E48CF" w14:textId="77777777" w:rsidR="00E1198C" w:rsidRDefault="00000000">
      <w:pPr>
        <w:pStyle w:val="Akapitzlist"/>
        <w:numPr>
          <w:ilvl w:val="1"/>
          <w:numId w:val="21"/>
        </w:numPr>
        <w:tabs>
          <w:tab w:val="left" w:pos="1759"/>
          <w:tab w:val="left" w:pos="1770"/>
        </w:tabs>
        <w:spacing w:before="129"/>
        <w:ind w:right="480" w:hanging="226"/>
        <w:jc w:val="both"/>
        <w:rPr>
          <w:sz w:val="18"/>
        </w:rPr>
      </w:pPr>
      <w:r>
        <w:rPr>
          <w:color w:val="231F20"/>
          <w:sz w:val="18"/>
        </w:rPr>
        <w:t>the right to participate in the general meeting and the right to vote at the general meeting. Each ordinary share held grants one vote at the general meeting, while privileged shares give the right to two votes per share;</w:t>
      </w:r>
    </w:p>
    <w:p w14:paraId="485C1D71" w14:textId="77777777" w:rsidR="00E1198C" w:rsidRDefault="00000000">
      <w:pPr>
        <w:pStyle w:val="Akapitzlist"/>
        <w:numPr>
          <w:ilvl w:val="1"/>
          <w:numId w:val="21"/>
        </w:numPr>
        <w:tabs>
          <w:tab w:val="left" w:pos="1762"/>
          <w:tab w:val="left" w:pos="1770"/>
        </w:tabs>
        <w:spacing w:before="122" w:line="232" w:lineRule="auto"/>
        <w:ind w:right="487" w:hanging="226"/>
        <w:jc w:val="both"/>
        <w:rPr>
          <w:sz w:val="18"/>
        </w:rPr>
      </w:pPr>
      <w:r>
        <w:rPr>
          <w:color w:val="231F20"/>
          <w:sz w:val="18"/>
        </w:rPr>
        <w:t>the right to convene a general meeting – to be held by shareholders representing at least half of the share capital or at least half of the total voting rights;</w:t>
      </w:r>
    </w:p>
    <w:p w14:paraId="10E255CA" w14:textId="77777777" w:rsidR="00E1198C" w:rsidRDefault="00000000">
      <w:pPr>
        <w:pStyle w:val="Akapitzlist"/>
        <w:numPr>
          <w:ilvl w:val="1"/>
          <w:numId w:val="21"/>
        </w:numPr>
        <w:tabs>
          <w:tab w:val="left" w:pos="1763"/>
          <w:tab w:val="left" w:pos="1770"/>
        </w:tabs>
        <w:spacing w:before="132"/>
        <w:ind w:right="480" w:hanging="226"/>
        <w:jc w:val="both"/>
        <w:rPr>
          <w:sz w:val="18"/>
        </w:rPr>
      </w:pPr>
      <w:r>
        <w:rPr>
          <w:color w:val="231F20"/>
          <w:sz w:val="18"/>
        </w:rPr>
        <w:t>The right to submit a motion for the convening of an extraordinary general meeting and to submit an application for placing individual matters on the agenda – this right may be exercised by shareholders holding at least one twentieth of the Company's share capital;</w:t>
      </w:r>
    </w:p>
    <w:p w14:paraId="5601E2C6" w14:textId="77777777" w:rsidR="00E1198C" w:rsidRDefault="00000000">
      <w:pPr>
        <w:pStyle w:val="Akapitzlist"/>
        <w:numPr>
          <w:ilvl w:val="1"/>
          <w:numId w:val="21"/>
        </w:numPr>
        <w:tabs>
          <w:tab w:val="left" w:pos="1762"/>
          <w:tab w:val="left" w:pos="1770"/>
        </w:tabs>
        <w:spacing w:before="117" w:line="242" w:lineRule="auto"/>
        <w:ind w:right="481" w:hanging="226"/>
        <w:jc w:val="both"/>
        <w:rPr>
          <w:sz w:val="18"/>
        </w:rPr>
      </w:pPr>
      <w:r>
        <w:rPr>
          <w:color w:val="231F20"/>
          <w:sz w:val="18"/>
        </w:rPr>
        <w:t>the right to request that the attendance list be verified at the General Meeting by a committee of at least three persons elected for that purpose. The request may be submitted by shareholders holding one tenth of the share capital represented at that General Meeting. The persons making the request are entitled to elect one commission member (Article 410 § 2 of the CCC);</w:t>
      </w:r>
    </w:p>
    <w:p w14:paraId="2165AF35" w14:textId="77777777" w:rsidR="00E1198C" w:rsidRDefault="00000000">
      <w:pPr>
        <w:pStyle w:val="Akapitzlist"/>
        <w:numPr>
          <w:ilvl w:val="1"/>
          <w:numId w:val="21"/>
        </w:numPr>
        <w:tabs>
          <w:tab w:val="left" w:pos="1764"/>
          <w:tab w:val="left" w:pos="1770"/>
        </w:tabs>
        <w:spacing w:before="119" w:line="232" w:lineRule="auto"/>
        <w:ind w:right="481" w:hanging="226"/>
        <w:jc w:val="both"/>
        <w:rPr>
          <w:sz w:val="18"/>
        </w:rPr>
      </w:pPr>
      <w:r>
        <w:rPr>
          <w:color w:val="231F20"/>
          <w:sz w:val="18"/>
        </w:rPr>
        <w:t>the right to appeal against resolutions of the General Meeting on the terms set out in Article 422-427 of the CCC (demand for the resolution to be repealed or declared invalid).</w:t>
      </w:r>
    </w:p>
    <w:p w14:paraId="54FF3F99" w14:textId="77777777" w:rsidR="00E1198C" w:rsidRDefault="00000000">
      <w:pPr>
        <w:pStyle w:val="Akapitzlist"/>
        <w:numPr>
          <w:ilvl w:val="0"/>
          <w:numId w:val="21"/>
        </w:numPr>
        <w:tabs>
          <w:tab w:val="left" w:pos="1618"/>
        </w:tabs>
        <w:spacing w:before="131"/>
        <w:ind w:left="1618" w:hanging="287"/>
        <w:rPr>
          <w:sz w:val="18"/>
        </w:rPr>
      </w:pPr>
      <w:r>
        <w:rPr>
          <w:color w:val="231F20"/>
          <w:sz w:val="18"/>
        </w:rPr>
        <w:t xml:space="preserve">Right to information in connection with the General Meeting – </w:t>
      </w:r>
      <w:r>
        <w:rPr>
          <w:color w:val="006FBF"/>
          <w:sz w:val="18"/>
        </w:rPr>
        <w:t xml:space="preserve">in this </w:t>
      </w:r>
      <w:r>
        <w:rPr>
          <w:color w:val="231F20"/>
          <w:sz w:val="18"/>
        </w:rPr>
        <w:t>respect, the shareholder has the right to:</w:t>
      </w:r>
    </w:p>
    <w:p w14:paraId="5F37A506" w14:textId="77777777" w:rsidR="00E1198C" w:rsidRDefault="00000000">
      <w:pPr>
        <w:pStyle w:val="Akapitzlist"/>
        <w:numPr>
          <w:ilvl w:val="1"/>
          <w:numId w:val="21"/>
        </w:numPr>
        <w:tabs>
          <w:tab w:val="left" w:pos="1759"/>
          <w:tab w:val="left" w:pos="1770"/>
        </w:tabs>
        <w:spacing w:before="118"/>
        <w:ind w:right="476" w:hanging="226"/>
        <w:jc w:val="both"/>
        <w:rPr>
          <w:sz w:val="18"/>
        </w:rPr>
      </w:pPr>
      <w:r>
        <w:rPr>
          <w:color w:val="231F20"/>
          <w:sz w:val="18"/>
        </w:rPr>
        <w:t>request copies of the Management Board’s report on the company’s operations and the financial statements together with a copy of the Supervisory Board’s report and the auditor’s opinion no later than fifteen days before the General Meeting (Article 395 § 4 of the CCC);</w:t>
      </w:r>
    </w:p>
    <w:p w14:paraId="74C2CC37" w14:textId="77777777" w:rsidR="00E1198C" w:rsidRDefault="00E1198C">
      <w:pPr>
        <w:jc w:val="both"/>
        <w:rPr>
          <w:sz w:val="18"/>
        </w:rPr>
        <w:sectPr w:rsidR="00E1198C">
          <w:pgSz w:w="11900" w:h="16840"/>
          <w:pgMar w:top="780" w:right="320" w:bottom="920" w:left="300" w:header="0" w:footer="726" w:gutter="0"/>
          <w:cols w:space="708"/>
        </w:sectPr>
      </w:pPr>
    </w:p>
    <w:p w14:paraId="70214F8A" w14:textId="77777777" w:rsidR="00E1198C" w:rsidRDefault="00000000">
      <w:pPr>
        <w:pStyle w:val="Akapitzlist"/>
        <w:numPr>
          <w:ilvl w:val="1"/>
          <w:numId w:val="21"/>
        </w:numPr>
        <w:tabs>
          <w:tab w:val="left" w:pos="1762"/>
          <w:tab w:val="left" w:pos="1770"/>
        </w:tabs>
        <w:spacing w:before="61"/>
        <w:ind w:right="476" w:hanging="226"/>
        <w:jc w:val="both"/>
        <w:rPr>
          <w:sz w:val="18"/>
        </w:rPr>
      </w:pPr>
      <w:r>
        <w:rPr>
          <w:color w:val="231F20"/>
          <w:sz w:val="18"/>
        </w:rPr>
        <w:lastRenderedPageBreak/>
        <w:t>view the list of shareholders entitled to participate in the General Meeting at the premises of the Management Board and requesting a copy of the list for reimbursement of the costs of its preparation (Article 407 § 1 of the CCC). The shareholder may also request that the list be sent to him free of charge by electronic mail;</w:t>
      </w:r>
    </w:p>
    <w:p w14:paraId="48F5612F" w14:textId="77777777" w:rsidR="00E1198C" w:rsidRDefault="00000000">
      <w:pPr>
        <w:pStyle w:val="Akapitzlist"/>
        <w:numPr>
          <w:ilvl w:val="1"/>
          <w:numId w:val="21"/>
        </w:numPr>
        <w:tabs>
          <w:tab w:val="left" w:pos="1763"/>
          <w:tab w:val="left" w:pos="1770"/>
        </w:tabs>
        <w:spacing w:before="117" w:line="242" w:lineRule="auto"/>
        <w:ind w:right="482" w:hanging="226"/>
        <w:jc w:val="both"/>
        <w:rPr>
          <w:sz w:val="18"/>
        </w:rPr>
      </w:pPr>
      <w:r>
        <w:rPr>
          <w:color w:val="231F20"/>
          <w:sz w:val="18"/>
        </w:rPr>
        <w:t>pursuant to Article 428 of the CCC, during the general meeting, the management board is obliged to provide the shareholder with information on the company at their request, provided it is justified for the assessment of the matter covered by the agenda. A shareholder who has been refused the disclosure of the requested information during the General Meeting and who has objected to the minutes may submit a motion to the registry court requesting that the Management Board be obliged to provide the information (Article 429 of the CCC);</w:t>
      </w:r>
    </w:p>
    <w:p w14:paraId="089E3240" w14:textId="77777777" w:rsidR="00E1198C" w:rsidRDefault="00000000">
      <w:pPr>
        <w:pStyle w:val="Akapitzlist"/>
        <w:numPr>
          <w:ilvl w:val="1"/>
          <w:numId w:val="21"/>
        </w:numPr>
        <w:tabs>
          <w:tab w:val="left" w:pos="1762"/>
          <w:tab w:val="left" w:pos="1770"/>
        </w:tabs>
        <w:spacing w:before="114" w:line="244" w:lineRule="auto"/>
        <w:ind w:right="488" w:hanging="226"/>
        <w:jc w:val="both"/>
        <w:rPr>
          <w:sz w:val="18"/>
        </w:rPr>
      </w:pPr>
      <w:r>
        <w:rPr>
          <w:color w:val="231F20"/>
          <w:sz w:val="18"/>
        </w:rPr>
        <w:t>request a copy of the motions on matters covered by the agenda, within a week before the General Meeting (Article 407 § 2 of the CCC);</w:t>
      </w:r>
    </w:p>
    <w:p w14:paraId="37FA837D" w14:textId="77777777" w:rsidR="00E1198C" w:rsidRDefault="00000000">
      <w:pPr>
        <w:pStyle w:val="Akapitzlist"/>
        <w:numPr>
          <w:ilvl w:val="1"/>
          <w:numId w:val="21"/>
        </w:numPr>
        <w:tabs>
          <w:tab w:val="left" w:pos="1765"/>
        </w:tabs>
        <w:spacing w:before="115"/>
        <w:ind w:left="1765" w:hanging="220"/>
        <w:rPr>
          <w:sz w:val="18"/>
        </w:rPr>
      </w:pPr>
      <w:r>
        <w:rPr>
          <w:color w:val="231F20"/>
          <w:sz w:val="18"/>
        </w:rPr>
        <w:t>review the minutes book and request the issuance of copies of resolutions certified by the Management Board (Article 421 § 3 of the CCC).</w:t>
      </w:r>
    </w:p>
    <w:p w14:paraId="20931BC4" w14:textId="77777777" w:rsidR="00E1198C" w:rsidRDefault="00000000">
      <w:pPr>
        <w:pStyle w:val="Akapitzlist"/>
        <w:numPr>
          <w:ilvl w:val="0"/>
          <w:numId w:val="21"/>
        </w:numPr>
        <w:tabs>
          <w:tab w:val="left" w:pos="1545"/>
        </w:tabs>
        <w:spacing w:before="118"/>
        <w:ind w:left="1545" w:right="475" w:hanging="214"/>
        <w:jc w:val="both"/>
        <w:rPr>
          <w:sz w:val="18"/>
        </w:rPr>
      </w:pPr>
      <w:r>
        <w:rPr>
          <w:color w:val="231F20"/>
          <w:sz w:val="18"/>
        </w:rPr>
        <w:t>The right to request the election of the Supervisory Board by separate groups. Article 385 § 3 of the CCC provides that, at the request of shareholders representing at least one fifth of the share capital, the supervisory board should be elected by the next General Meeting by voting in separate groups.</w:t>
      </w:r>
    </w:p>
    <w:p w14:paraId="469D0160" w14:textId="77777777" w:rsidR="00E1198C" w:rsidRDefault="00000000">
      <w:pPr>
        <w:pStyle w:val="Akapitzlist"/>
        <w:numPr>
          <w:ilvl w:val="0"/>
          <w:numId w:val="21"/>
        </w:numPr>
        <w:tabs>
          <w:tab w:val="left" w:pos="1545"/>
        </w:tabs>
        <w:spacing w:before="117"/>
        <w:ind w:left="1545" w:right="479" w:hanging="214"/>
        <w:jc w:val="both"/>
        <w:rPr>
          <w:sz w:val="18"/>
        </w:rPr>
      </w:pPr>
      <w:r>
        <w:rPr>
          <w:color w:val="231F20"/>
          <w:sz w:val="18"/>
        </w:rPr>
        <w:t>The right to require that an expert examine, at the expense of the company, a specific issue related to the formation of the company or the conduct of its affairs (auditor for special matters). A resolution on this subject is adopted by the general meeting at the request of a shareholder or shareholders holding at least 5% of the total number of votes at the general meeting (Article 84 and 85 of the public offering act). For this purpose, shareholders may request the convening of an extraordinary General Meeting or demand that the matter of adopting this resolution be placed on the agenda of the next General Meeting. If the general meeting does not adopt a resolution consistent with the content of the proposal or adopts such a resolution in violation of the Act, one may motion to the registry court for the appointment of a designated entity as the auditor for special matters, within 14 days from the date of adoption of the resolution.</w:t>
      </w:r>
    </w:p>
    <w:p w14:paraId="104A8B2E" w14:textId="77777777" w:rsidR="00E1198C" w:rsidRDefault="00000000">
      <w:pPr>
        <w:pStyle w:val="Akapitzlist"/>
        <w:numPr>
          <w:ilvl w:val="0"/>
          <w:numId w:val="21"/>
        </w:numPr>
        <w:tabs>
          <w:tab w:val="left" w:pos="1545"/>
          <w:tab w:val="left" w:pos="1704"/>
        </w:tabs>
        <w:spacing w:before="121" w:line="244" w:lineRule="auto"/>
        <w:ind w:left="1545" w:right="475" w:hanging="214"/>
        <w:jc w:val="both"/>
        <w:rPr>
          <w:sz w:val="18"/>
        </w:rPr>
      </w:pPr>
      <w:r>
        <w:rPr>
          <w:color w:val="231F20"/>
          <w:sz w:val="18"/>
        </w:rPr>
        <w:t>In the event of a merger, division or transformation of the company, the shareholders have the right to view documents and demand that copies of the documents referred to in Article 505 § 1 of the CCC (in the case of a merger of companies), in Article 540 § 1 of the CCC (in the case of division of the Company) and in Article 561 § 1 of the CCC (in the case of the Company’s transformation) be made available at the company premises free of charge.</w:t>
      </w:r>
    </w:p>
    <w:p w14:paraId="16CA2C3F" w14:textId="77777777" w:rsidR="00E1198C" w:rsidRDefault="00000000">
      <w:pPr>
        <w:pStyle w:val="Akapitzlist"/>
        <w:numPr>
          <w:ilvl w:val="0"/>
          <w:numId w:val="21"/>
        </w:numPr>
        <w:tabs>
          <w:tab w:val="left" w:pos="1545"/>
          <w:tab w:val="left" w:pos="1704"/>
        </w:tabs>
        <w:spacing w:before="116"/>
        <w:ind w:left="1545" w:right="479" w:hanging="214"/>
        <w:jc w:val="both"/>
        <w:rPr>
          <w:sz w:val="18"/>
        </w:rPr>
      </w:pPr>
      <w:r>
        <w:rPr>
          <w:color w:val="231F20"/>
          <w:sz w:val="18"/>
        </w:rPr>
        <w:t>The right to bring a claim for compensation for damage caused to the Company, in accordance with the rules set out in Articles 486 and 487 of the CCC, if the Company does not bring an action for repair of the damage caused to it within one year from the date of disclosure of the act causing the damage.</w:t>
      </w:r>
    </w:p>
    <w:p w14:paraId="651019C4" w14:textId="77777777" w:rsidR="00E1198C" w:rsidRDefault="00000000">
      <w:pPr>
        <w:pStyle w:val="Akapitzlist"/>
        <w:numPr>
          <w:ilvl w:val="0"/>
          <w:numId w:val="21"/>
        </w:numPr>
        <w:tabs>
          <w:tab w:val="left" w:pos="1545"/>
          <w:tab w:val="left" w:pos="1704"/>
        </w:tabs>
        <w:spacing w:before="117"/>
        <w:ind w:left="1545" w:right="479" w:hanging="214"/>
        <w:jc w:val="both"/>
        <w:rPr>
          <w:sz w:val="18"/>
        </w:rPr>
      </w:pPr>
      <w:r>
        <w:rPr>
          <w:color w:val="231F20"/>
          <w:sz w:val="18"/>
        </w:rPr>
        <w:t>The right to demand that a commercial company which is a shareholder of the Company  provide information as to whether it is in a relationship of domination or dependence with respect to a particular commercial company or cooperative which is a shareholder of the Company, or whether such a relationship of domination or dependence has ceased. A shareholder may also demand disclosure of the number of shares or votes or the number of shares or votes that this commercial company holds, including as a pledgee, user or on the basis of agreements with other persons (Article 6 § 4 and 6 of the CCC).</w:t>
      </w:r>
    </w:p>
    <w:p w14:paraId="35B96CD7" w14:textId="77777777" w:rsidR="00E1198C" w:rsidRDefault="00000000">
      <w:pPr>
        <w:pStyle w:val="Akapitzlist"/>
        <w:numPr>
          <w:ilvl w:val="0"/>
          <w:numId w:val="21"/>
        </w:numPr>
        <w:tabs>
          <w:tab w:val="left" w:pos="1545"/>
          <w:tab w:val="left" w:pos="1704"/>
        </w:tabs>
        <w:spacing w:before="117"/>
        <w:ind w:left="1545" w:right="480" w:hanging="214"/>
        <w:jc w:val="both"/>
        <w:rPr>
          <w:sz w:val="18"/>
        </w:rPr>
      </w:pPr>
      <w:r>
        <w:rPr>
          <w:color w:val="231F20"/>
          <w:sz w:val="18"/>
        </w:rPr>
        <w:t>Forced redemption Pursuant to Article 82 of the Public Offering Act, a shareholder who, individually or jointly with its subsidiaries or parent entities and entities that are parties to the agreement referred to in Article 87(1)(5) of the Public Offering Act, has reached or exceeded 95% of the total number of votes in a company, within three months of reaching or exceeding this threshold, has the right to demand that other shareholders sell all the shares they hold. Moreover, pursuant to Article 83 of the Public Offering Act, a shareholder may request that the shares they hold be purchased by another shareholder who has reached or exceeded 95% of the total number of votes in the company. The request shall be submitted in writing within three months of the date on which the threshold was reached or exceeded by another shareholder.</w:t>
      </w:r>
    </w:p>
    <w:p w14:paraId="4F31F393" w14:textId="4EEBB6CE" w:rsidR="00E1198C" w:rsidRPr="00122FB9" w:rsidRDefault="00000000" w:rsidP="00122FB9">
      <w:pPr>
        <w:pStyle w:val="Akapitzlist"/>
        <w:numPr>
          <w:ilvl w:val="0"/>
          <w:numId w:val="21"/>
        </w:numPr>
        <w:tabs>
          <w:tab w:val="left" w:pos="1545"/>
          <w:tab w:val="left" w:pos="1704"/>
        </w:tabs>
        <w:spacing w:before="121" w:line="244" w:lineRule="auto"/>
        <w:ind w:left="1545" w:right="480" w:hanging="214"/>
        <w:jc w:val="both"/>
        <w:rPr>
          <w:sz w:val="18"/>
        </w:rPr>
      </w:pPr>
      <w:r>
        <w:rPr>
          <w:color w:val="231F20"/>
          <w:sz w:val="18"/>
        </w:rPr>
        <w:t>Redemption of shares – shares of the company may be redeemed on the terms specified by the General Meeting. Detailed conditions for redemption of shares are determined by a resolution of the General Meeting.</w:t>
      </w:r>
    </w:p>
    <w:p w14:paraId="7E1D3755" w14:textId="315B918C" w:rsidR="00E1198C" w:rsidRPr="00122FB9" w:rsidRDefault="00000000" w:rsidP="00122FB9">
      <w:pPr>
        <w:pStyle w:val="Akapitzlist"/>
        <w:numPr>
          <w:ilvl w:val="1"/>
          <w:numId w:val="43"/>
        </w:numPr>
        <w:tabs>
          <w:tab w:val="left" w:pos="1088"/>
        </w:tabs>
        <w:spacing w:before="1"/>
        <w:ind w:hanging="578"/>
        <w:rPr>
          <w:sz w:val="18"/>
        </w:rPr>
      </w:pPr>
      <w:r>
        <w:rPr>
          <w:color w:val="F07D00"/>
          <w:sz w:val="18"/>
        </w:rPr>
        <w:t>Principles amending the Company's Articles of Association</w:t>
      </w:r>
    </w:p>
    <w:p w14:paraId="41E0B3BC" w14:textId="77777777" w:rsidR="00E1198C" w:rsidRDefault="00000000">
      <w:pPr>
        <w:pStyle w:val="Tekstpodstawowy"/>
        <w:spacing w:line="273" w:lineRule="auto"/>
        <w:ind w:left="510" w:right="477"/>
        <w:jc w:val="both"/>
      </w:pPr>
      <w:r>
        <w:rPr>
          <w:color w:val="231F20"/>
        </w:rPr>
        <w:t>Pursuant to Article 430 § 1 of the Commercial Companies Code, the amendment of the Articles of Association requires a resolution of the general meeting and an entry in the register. The resolution to amend the Articles of Association is passed by a three-fourths majority of votes, while the resolution to amend the Article of Association, increasing the benefits of shareholders or diminishing the rights granted personally to individual shareholders in accordance with Article 354 of the CCC, requires the consent of all shareholders concerned (Article 415 of the CCC).</w:t>
      </w:r>
    </w:p>
    <w:p w14:paraId="645C16E0" w14:textId="77777777" w:rsidR="00E1198C" w:rsidRDefault="00000000">
      <w:pPr>
        <w:pStyle w:val="Tekstpodstawowy"/>
        <w:spacing w:before="123" w:line="283" w:lineRule="auto"/>
        <w:ind w:left="510" w:right="479"/>
        <w:jc w:val="both"/>
      </w:pPr>
      <w:r>
        <w:rPr>
          <w:color w:val="231F20"/>
        </w:rPr>
        <w:t>The Articles of Association of Celon Pharma S.A. do not provide for any stricter conditions for adopting a resolution on amending the Articles of Association of the Company than the above mentioned.</w:t>
      </w:r>
    </w:p>
    <w:p w14:paraId="61B1F130" w14:textId="4F5D54CF" w:rsidR="00122FB9" w:rsidRPr="00122FB9" w:rsidRDefault="00000000" w:rsidP="00122FB9">
      <w:pPr>
        <w:pStyle w:val="Tekstpodstawowy"/>
        <w:spacing w:before="112" w:line="276" w:lineRule="auto"/>
        <w:ind w:left="510" w:right="477"/>
        <w:jc w:val="both"/>
        <w:rPr>
          <w:color w:val="231F20"/>
        </w:rPr>
      </w:pPr>
      <w:r>
        <w:rPr>
          <w:color w:val="231F20"/>
        </w:rPr>
        <w:t>If the amendment to the Articles of Association is not related to the increase or decrease of the share capital, after the adoption of the relevant resolution by the General Meeting, the Management Board of the Company has 3 months to notify the amendment to the Articles of Association to the registry court (Article 430 § 2 of the Commercial Companies Code). The change takes place upon registration by the competent registry court.</w:t>
      </w:r>
    </w:p>
    <w:p w14:paraId="74517B3D" w14:textId="17E77532" w:rsidR="00E1198C" w:rsidRPr="00122FB9" w:rsidRDefault="00000000" w:rsidP="00122FB9">
      <w:pPr>
        <w:pStyle w:val="Akapitzlist"/>
        <w:numPr>
          <w:ilvl w:val="1"/>
          <w:numId w:val="43"/>
        </w:numPr>
        <w:tabs>
          <w:tab w:val="left" w:pos="1088"/>
        </w:tabs>
        <w:ind w:hanging="578"/>
        <w:rPr>
          <w:sz w:val="18"/>
        </w:rPr>
      </w:pPr>
      <w:r>
        <w:rPr>
          <w:color w:val="F07D00"/>
          <w:sz w:val="18"/>
        </w:rPr>
        <w:t>Internal control and risk management systems in relation to the Company’s reporting process</w:t>
      </w:r>
    </w:p>
    <w:p w14:paraId="74F1CC3E" w14:textId="0010840F" w:rsidR="00E1198C" w:rsidRDefault="00000000" w:rsidP="00122FB9">
      <w:pPr>
        <w:pStyle w:val="Tekstpodstawowy"/>
        <w:ind w:left="510" w:right="507"/>
        <w:jc w:val="both"/>
      </w:pPr>
      <w:r>
        <w:rPr>
          <w:color w:val="231F20"/>
        </w:rPr>
        <w:t>The Company does not have a formal internal control and risk management system in relation to the process of preparing financial statements</w:t>
      </w:r>
      <w:r w:rsidR="00122FB9">
        <w:rPr>
          <w:color w:val="231F20"/>
        </w:rPr>
        <w:t>.</w:t>
      </w:r>
    </w:p>
    <w:p w14:paraId="7B3554BD" w14:textId="77777777" w:rsidR="00E1198C" w:rsidRDefault="00E1198C">
      <w:pPr>
        <w:jc w:val="both"/>
        <w:sectPr w:rsidR="00E1198C">
          <w:pgSz w:w="11900" w:h="16840"/>
          <w:pgMar w:top="820" w:right="320" w:bottom="920" w:left="300" w:header="0" w:footer="726" w:gutter="0"/>
          <w:cols w:space="708"/>
        </w:sectPr>
      </w:pPr>
    </w:p>
    <w:p w14:paraId="4800DE5B" w14:textId="637CA49C" w:rsidR="00E1198C" w:rsidRDefault="00000000">
      <w:pPr>
        <w:pStyle w:val="Tekstpodstawowy"/>
        <w:spacing w:before="61"/>
        <w:ind w:left="510"/>
        <w:jc w:val="both"/>
      </w:pPr>
      <w:r>
        <w:rPr>
          <w:color w:val="231F20"/>
        </w:rPr>
        <w:lastRenderedPageBreak/>
        <w:t>Data for the purposes of financial statements and the financial statements themselves are prepared by the Company’s accounting department.</w:t>
      </w:r>
    </w:p>
    <w:p w14:paraId="645F2119" w14:textId="77777777" w:rsidR="00E1198C" w:rsidRDefault="00000000">
      <w:pPr>
        <w:pStyle w:val="Tekstpodstawowy"/>
        <w:spacing w:before="152" w:line="283" w:lineRule="auto"/>
        <w:ind w:left="510" w:right="477"/>
        <w:jc w:val="both"/>
      </w:pPr>
      <w:r>
        <w:rPr>
          <w:color w:val="231F20"/>
        </w:rPr>
        <w:t>In the Company, the Management Board is responsible for the financial reporting system, and in particular the Member of the Management Board who is also the Finance Director of the Company. The Audit Committee monitors the financial reporting process within the scope of its competence.</w:t>
      </w:r>
    </w:p>
    <w:p w14:paraId="124AD416" w14:textId="15187971" w:rsidR="00E1198C" w:rsidRDefault="00000000" w:rsidP="009903A1">
      <w:pPr>
        <w:pStyle w:val="Tekstpodstawowy"/>
        <w:spacing w:before="111" w:line="276" w:lineRule="auto"/>
        <w:ind w:left="510" w:right="476"/>
        <w:jc w:val="both"/>
      </w:pPr>
      <w:r>
        <w:rPr>
          <w:color w:val="231F20"/>
        </w:rPr>
        <w:t>Each financial year, the Management Board of the Company prepares its own assessment of the  management systems applied to the financial reporting system, together with a report to the Supervisory Board. The Supervisory Board assesses the Management Board’s own assessment report on the basis of recommendations of the Audit Committee. As part of the activities related to the monitoring of financial reporting, the Audit Committee reviews and evaluates the Company’s accounting policy and applied principles of preparing financial statements, especially concerning complex or unusual transactions, any changes to the above rules, and the forecasts, estimates or assumptions adopted by the Management Board. In addition, it reviews and evaluates: (i) the process of accounting and reporting, including the IT systems used, (ii) the way in which the Company introduces new accounting and reporting regulations,</w:t>
      </w:r>
      <w:r>
        <w:t xml:space="preserve"> </w:t>
      </w:r>
      <w:r>
        <w:rPr>
          <w:color w:val="231F20"/>
        </w:rPr>
        <w:t>(iii) the process and assessment of the reliability of financial information communication, including forecasts and current information addressed to the media, analysts, investors and supervisory institutions. In addition to the above, the Audit Committee reviews quarterly, semi-annual and annual reports prior to their publication.</w:t>
      </w:r>
    </w:p>
    <w:p w14:paraId="5BB71539" w14:textId="77777777" w:rsidR="00E1198C" w:rsidRDefault="00000000">
      <w:pPr>
        <w:pStyle w:val="Tekstpodstawowy"/>
        <w:spacing w:before="118" w:line="273" w:lineRule="auto"/>
        <w:ind w:left="510" w:right="473"/>
        <w:jc w:val="both"/>
      </w:pPr>
      <w:r>
        <w:rPr>
          <w:color w:val="231F20"/>
        </w:rPr>
        <w:t>The Management Board’s approval of the periodic report requires prior review of the reports by the Audit Committee and introduction of possible changes to the periodic reports. This review includes the examination of the correctness and completeness of the information contained therein, an analysis of the results and a report of an external auditor on the audit of financial statements, including information on limitations of the scope of the audit or access to information, refusal to audit or issue an opinion, and possible difference of opinion between the statutory auditor and the Management Board.</w:t>
      </w:r>
    </w:p>
    <w:p w14:paraId="19B6259E" w14:textId="66F78ED5" w:rsidR="00E1198C" w:rsidRDefault="00000000">
      <w:pPr>
        <w:pStyle w:val="Tekstpodstawowy"/>
        <w:spacing w:before="135" w:line="276" w:lineRule="auto"/>
        <w:ind w:left="510" w:right="479"/>
        <w:jc w:val="both"/>
      </w:pPr>
      <w:r>
        <w:rPr>
          <w:color w:val="231F20"/>
        </w:rPr>
        <w:t>The Audit Committee makes a recommendation to the Supervisory Board on the report on the results of the  annual financial statements assessment addressed to the General Meeting, and makes recommendations aimed at ensuring the reliability of the financial reporting process.</w:t>
      </w:r>
    </w:p>
    <w:p w14:paraId="7BCDE62D" w14:textId="77777777" w:rsidR="00E1198C" w:rsidRDefault="00E1198C">
      <w:pPr>
        <w:pStyle w:val="Tekstpodstawowy"/>
        <w:spacing w:before="12"/>
      </w:pPr>
    </w:p>
    <w:p w14:paraId="25044D00" w14:textId="77777777" w:rsidR="00E1198C" w:rsidRDefault="00000000">
      <w:pPr>
        <w:pStyle w:val="Akapitzlist"/>
        <w:numPr>
          <w:ilvl w:val="1"/>
          <w:numId w:val="43"/>
        </w:numPr>
        <w:tabs>
          <w:tab w:val="left" w:pos="1087"/>
        </w:tabs>
        <w:ind w:left="1087" w:hanging="577"/>
        <w:jc w:val="both"/>
        <w:rPr>
          <w:sz w:val="18"/>
        </w:rPr>
      </w:pPr>
      <w:r>
        <w:rPr>
          <w:color w:val="F07D00"/>
          <w:sz w:val="18"/>
        </w:rPr>
        <w:t>Diversity policy</w:t>
      </w:r>
    </w:p>
    <w:p w14:paraId="310ACE32" w14:textId="77777777" w:rsidR="00E1198C" w:rsidRDefault="00E1198C">
      <w:pPr>
        <w:pStyle w:val="Tekstpodstawowy"/>
        <w:spacing w:before="135"/>
      </w:pPr>
    </w:p>
    <w:p w14:paraId="06951BCD" w14:textId="77777777" w:rsidR="00E1198C" w:rsidRDefault="00000000">
      <w:pPr>
        <w:pStyle w:val="Tekstpodstawowy"/>
        <w:spacing w:line="276" w:lineRule="auto"/>
        <w:ind w:left="510" w:right="476"/>
        <w:jc w:val="both"/>
      </w:pPr>
      <w:r>
        <w:rPr>
          <w:color w:val="231F20"/>
        </w:rPr>
        <w:t>The Company has not introduced a formal diversity policy. Members of the Supervisory Board are elected by the General Meeting and members of the Management Board are elected by the Supervisory Board. Despite the lack of standardized rules for the election of members of the Company’s governing bodies and key managers, the assumption of using the knowledge and experience of people with different competences, regardless of their gender, age, education or professional experience, is implemented whenever possible. In terms of employment, the Company applies the principles of equal treatment and non-discrimination. The Company strives to select associates in such a way as to ensure a balance between professional experience and values, which is ensured by cooperation with people starting their professional career and so that their competences complement each other. However, due to the specificity of the Company’s operations, their qualifications remain crucial when selecting associates, regardless of criteria unrelated to the person's expertise, such as age or gender. In the opinion of the Company, determining rigid rules relating to gender parity, age or education would not benefit the Company, as that would limit the possibility of granting competence primacy over other factors determining cooperation with specific persons.</w:t>
      </w:r>
    </w:p>
    <w:p w14:paraId="21582D77" w14:textId="77777777" w:rsidR="00E1198C" w:rsidRDefault="00E1198C">
      <w:pPr>
        <w:pStyle w:val="Tekstpodstawowy"/>
        <w:spacing w:before="21"/>
      </w:pPr>
    </w:p>
    <w:p w14:paraId="4ED4E53A" w14:textId="77777777" w:rsidR="00E1198C" w:rsidRPr="00461E7D" w:rsidRDefault="00000000">
      <w:pPr>
        <w:pStyle w:val="Akapitzlist"/>
        <w:numPr>
          <w:ilvl w:val="0"/>
          <w:numId w:val="43"/>
        </w:numPr>
        <w:tabs>
          <w:tab w:val="left" w:pos="942"/>
        </w:tabs>
        <w:ind w:hanging="432"/>
        <w:rPr>
          <w:sz w:val="18"/>
        </w:rPr>
      </w:pPr>
      <w:r w:rsidRPr="00461E7D">
        <w:rPr>
          <w:color w:val="F5811F"/>
          <w:sz w:val="18"/>
        </w:rPr>
        <w:t>Remuneration of members of the Company’s bodies</w:t>
      </w:r>
    </w:p>
    <w:p w14:paraId="586AC859" w14:textId="77777777" w:rsidR="00E1198C" w:rsidRDefault="00000000">
      <w:pPr>
        <w:pStyle w:val="Tekstpodstawowy"/>
        <w:spacing w:before="152" w:line="283" w:lineRule="auto"/>
        <w:ind w:left="510" w:right="479"/>
        <w:jc w:val="both"/>
      </w:pPr>
      <w:r>
        <w:rPr>
          <w:color w:val="231F20"/>
        </w:rPr>
        <w:t>The current Remuneration Policy, which sets out the rules for remuneration of Members of the Supervisory Board and Members of the Management Board of Celon Pharma S.A., was adopted by Resolution No. 8/2021 of the Extraordinary General Meeting of Celon Pharma S.A. of February 16, 2021.</w:t>
      </w:r>
    </w:p>
    <w:p w14:paraId="1394D5DA" w14:textId="77777777" w:rsidR="00E1198C" w:rsidRDefault="00000000">
      <w:pPr>
        <w:pStyle w:val="Tekstpodstawowy"/>
        <w:spacing w:before="202" w:line="278" w:lineRule="auto"/>
        <w:ind w:left="510" w:right="474"/>
        <w:jc w:val="both"/>
      </w:pPr>
      <w:r>
        <w:rPr>
          <w:color w:val="231F20"/>
        </w:rPr>
        <w:t>In accordance with the requirement of Article 90g of the Act of 29 July 2005 on Public Offering, Conditions Governing the Introduction of Financial Instruments to Organized Trading, and Public Companies, the Supervisory Board of the Company annually prepares a remuneration report presenting a comprehensive overview of the remuneration paid and due to the Members of the Management Board and the Supervisory Board in accordance with the Company’s Remuneration Policy.</w:t>
      </w:r>
    </w:p>
    <w:p w14:paraId="4FDCC5AA" w14:textId="77777777" w:rsidR="00E1198C" w:rsidRDefault="00E1198C">
      <w:pPr>
        <w:pStyle w:val="Tekstpodstawowy"/>
        <w:spacing w:before="21"/>
      </w:pPr>
    </w:p>
    <w:p w14:paraId="6397F0CF" w14:textId="77777777" w:rsidR="00E1198C" w:rsidRDefault="00000000">
      <w:pPr>
        <w:pStyle w:val="Akapitzlist"/>
        <w:numPr>
          <w:ilvl w:val="1"/>
          <w:numId w:val="43"/>
        </w:numPr>
        <w:tabs>
          <w:tab w:val="left" w:pos="1088"/>
        </w:tabs>
        <w:ind w:hanging="578"/>
        <w:rPr>
          <w:sz w:val="18"/>
        </w:rPr>
      </w:pPr>
      <w:r>
        <w:rPr>
          <w:color w:val="F07D00"/>
          <w:sz w:val="18"/>
        </w:rPr>
        <w:t>Conditions and remuneration of Management Board Members</w:t>
      </w:r>
    </w:p>
    <w:p w14:paraId="56FE1E2C" w14:textId="77777777" w:rsidR="00E1198C" w:rsidRDefault="00E1198C">
      <w:pPr>
        <w:pStyle w:val="Tekstpodstawowy"/>
        <w:spacing w:before="123"/>
      </w:pPr>
    </w:p>
    <w:p w14:paraId="6DD86A2E" w14:textId="77777777" w:rsidR="00E1198C" w:rsidRDefault="00000000">
      <w:pPr>
        <w:pStyle w:val="Tekstpodstawowy"/>
        <w:spacing w:line="278" w:lineRule="auto"/>
        <w:ind w:left="510" w:right="477"/>
        <w:jc w:val="both"/>
      </w:pPr>
      <w:r>
        <w:t>In 2024, the Management Board Members did not receive any remuneration for their functions other than those indicated below. The President of the Management Board is the largest shareholder of the Company and does not receive any remuneration in any other form. Members of the Management Board did not receive any awards or other benefits, including those resulting from incentive or bonus programs based on the Company’s capital, nor do they receive variable remuneration components. No functions were performed in the bodies of subordinated entities.</w:t>
      </w:r>
    </w:p>
    <w:p w14:paraId="226E4BA4" w14:textId="77777777" w:rsidR="00E1198C" w:rsidRDefault="00000000">
      <w:pPr>
        <w:pStyle w:val="Tekstpodstawowy"/>
        <w:spacing w:before="117" w:line="271" w:lineRule="auto"/>
        <w:ind w:left="510" w:right="476"/>
        <w:jc w:val="both"/>
      </w:pPr>
      <w:r>
        <w:rPr>
          <w:color w:val="231F20"/>
        </w:rPr>
        <w:t>The following table presents the gross value of remuneration paid, due or potentially due to Members of the Management Board in 2023:</w:t>
      </w:r>
    </w:p>
    <w:p w14:paraId="7C589FD3" w14:textId="77777777" w:rsidR="00E1198C" w:rsidRDefault="00000000">
      <w:pPr>
        <w:pStyle w:val="Tekstpodstawowy"/>
        <w:rPr>
          <w:sz w:val="9"/>
        </w:rPr>
      </w:pPr>
      <w:r>
        <w:rPr>
          <w:noProof/>
        </w:rPr>
        <mc:AlternateContent>
          <mc:Choice Requires="wpg">
            <w:drawing>
              <wp:anchor distT="0" distB="0" distL="0" distR="0" simplePos="0" relativeHeight="251663872" behindDoc="1" locked="0" layoutInCell="1" allowOverlap="1" wp14:anchorId="6FF7A008" wp14:editId="5C569394">
                <wp:simplePos x="0" y="0"/>
                <wp:positionH relativeFrom="page">
                  <wp:posOffset>443230</wp:posOffset>
                </wp:positionH>
                <wp:positionV relativeFrom="paragraph">
                  <wp:posOffset>81280</wp:posOffset>
                </wp:positionV>
                <wp:extent cx="6673850" cy="660400"/>
                <wp:effectExtent l="0" t="0" r="0" b="6350"/>
                <wp:wrapTopAndBottom/>
                <wp:docPr id="72" name="Group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73850" cy="660400"/>
                          <a:chOff x="0" y="0"/>
                          <a:chExt cx="6674297" cy="661429"/>
                        </a:xfrm>
                      </wpg:grpSpPr>
                      <pic:pic xmlns:pic="http://schemas.openxmlformats.org/drawingml/2006/picture">
                        <pic:nvPicPr>
                          <pic:cNvPr id="73" name="Image 73"/>
                          <pic:cNvPicPr/>
                        </pic:nvPicPr>
                        <pic:blipFill>
                          <a:blip r:embed="rId20" cstate="print"/>
                          <a:stretch>
                            <a:fillRect/>
                          </a:stretch>
                        </pic:blipFill>
                        <pic:spPr>
                          <a:xfrm>
                            <a:off x="0" y="0"/>
                            <a:ext cx="6674297" cy="643133"/>
                          </a:xfrm>
                          <a:prstGeom prst="rect">
                            <a:avLst/>
                          </a:prstGeom>
                        </pic:spPr>
                      </pic:pic>
                      <wps:wsp>
                        <wps:cNvPr id="74" name="Textbox 74"/>
                        <wps:cNvSpPr txBox="1"/>
                        <wps:spPr>
                          <a:xfrm>
                            <a:off x="5059317" y="92132"/>
                            <a:ext cx="245110" cy="114935"/>
                          </a:xfrm>
                          <a:prstGeom prst="rect">
                            <a:avLst/>
                          </a:prstGeom>
                        </wps:spPr>
                        <wps:txbx>
                          <w:txbxContent>
                            <w:p w14:paraId="5B5B7F5D" w14:textId="77777777" w:rsidR="00E1198C" w:rsidRDefault="00000000">
                              <w:pPr>
                                <w:spacing w:line="180" w:lineRule="exact"/>
                                <w:rPr>
                                  <w:b/>
                                  <w:sz w:val="18"/>
                                </w:rPr>
                              </w:pPr>
                              <w:r>
                                <w:rPr>
                                  <w:b/>
                                  <w:color w:val="FFFFFF"/>
                                  <w:sz w:val="18"/>
                                </w:rPr>
                                <w:t>2024</w:t>
                              </w:r>
                            </w:p>
                          </w:txbxContent>
                        </wps:txbx>
                        <wps:bodyPr wrap="square" lIns="0" tIns="0" rIns="0" bIns="0" rtlCol="0">
                          <a:noAutofit/>
                        </wps:bodyPr>
                      </wps:wsp>
                      <wps:wsp>
                        <wps:cNvPr id="75" name="Textbox 75"/>
                        <wps:cNvSpPr txBox="1"/>
                        <wps:spPr>
                          <a:xfrm>
                            <a:off x="6051931" y="92132"/>
                            <a:ext cx="245110" cy="114935"/>
                          </a:xfrm>
                          <a:prstGeom prst="rect">
                            <a:avLst/>
                          </a:prstGeom>
                        </wps:spPr>
                        <wps:txbx>
                          <w:txbxContent>
                            <w:p w14:paraId="7729FDF7" w14:textId="77777777" w:rsidR="00E1198C" w:rsidRDefault="00000000">
                              <w:pPr>
                                <w:spacing w:line="180" w:lineRule="exact"/>
                                <w:rPr>
                                  <w:b/>
                                  <w:sz w:val="18"/>
                                </w:rPr>
                              </w:pPr>
                              <w:r>
                                <w:rPr>
                                  <w:b/>
                                  <w:color w:val="FFFFFF"/>
                                  <w:sz w:val="18"/>
                                </w:rPr>
                                <w:t>2023</w:t>
                              </w:r>
                            </w:p>
                          </w:txbxContent>
                        </wps:txbx>
                        <wps:bodyPr wrap="square" lIns="0" tIns="0" rIns="0" bIns="0" rtlCol="0">
                          <a:noAutofit/>
                        </wps:bodyPr>
                      </wps:wsp>
                      <wps:wsp>
                        <wps:cNvPr id="76" name="Textbox 76"/>
                        <wps:cNvSpPr txBox="1"/>
                        <wps:spPr>
                          <a:xfrm>
                            <a:off x="7144" y="300164"/>
                            <a:ext cx="4691604" cy="361265"/>
                          </a:xfrm>
                          <a:prstGeom prst="rect">
                            <a:avLst/>
                          </a:prstGeom>
                        </wps:spPr>
                        <wps:txbx>
                          <w:txbxContent>
                            <w:p w14:paraId="3A8BAA36" w14:textId="77777777" w:rsidR="00E1198C" w:rsidRPr="00720E33" w:rsidRDefault="00000000">
                              <w:pPr>
                                <w:spacing w:line="197" w:lineRule="exact"/>
                                <w:rPr>
                                  <w:sz w:val="14"/>
                                  <w:szCs w:val="18"/>
                                </w:rPr>
                              </w:pPr>
                              <w:r w:rsidRPr="00720E33">
                                <w:rPr>
                                  <w:color w:val="231F20"/>
                                  <w:sz w:val="14"/>
                                  <w:szCs w:val="18"/>
                                </w:rPr>
                                <w:t>Remuneration paid to the members of the Management Board for performing functions in the Management Board</w:t>
                              </w:r>
                            </w:p>
                            <w:p w14:paraId="1B0DAD3D" w14:textId="77777777" w:rsidR="00E1198C" w:rsidRDefault="00000000">
                              <w:pPr>
                                <w:spacing w:before="75" w:line="207" w:lineRule="exact"/>
                                <w:rPr>
                                  <w:sz w:val="18"/>
                                </w:rPr>
                              </w:pPr>
                              <w:r>
                                <w:rPr>
                                  <w:color w:val="231F20"/>
                                  <w:sz w:val="18"/>
                                </w:rPr>
                                <w:t>Maciej Wieczorek</w:t>
                              </w:r>
                            </w:p>
                          </w:txbxContent>
                        </wps:txbx>
                        <wps:bodyPr wrap="square" lIns="0" tIns="0" rIns="0" bIns="0" rtlCol="0">
                          <a:noAutofit/>
                        </wps:bodyPr>
                      </wps:wsp>
                      <wps:wsp>
                        <wps:cNvPr id="77" name="Textbox 77"/>
                        <wps:cNvSpPr txBox="1"/>
                        <wps:spPr>
                          <a:xfrm>
                            <a:off x="5523189" y="488912"/>
                            <a:ext cx="71120" cy="114935"/>
                          </a:xfrm>
                          <a:prstGeom prst="rect">
                            <a:avLst/>
                          </a:prstGeom>
                        </wps:spPr>
                        <wps:txbx>
                          <w:txbxContent>
                            <w:p w14:paraId="1D8A7FD1" w14:textId="77777777" w:rsidR="00E1198C" w:rsidRDefault="00000000">
                              <w:pPr>
                                <w:spacing w:line="180" w:lineRule="exact"/>
                                <w:rPr>
                                  <w:sz w:val="18"/>
                                </w:rPr>
                              </w:pPr>
                              <w:r>
                                <w:rPr>
                                  <w:color w:val="231F20"/>
                                  <w:sz w:val="18"/>
                                </w:rPr>
                                <w:t>0</w:t>
                              </w:r>
                            </w:p>
                          </w:txbxContent>
                        </wps:txbx>
                        <wps:bodyPr wrap="square" lIns="0" tIns="0" rIns="0" bIns="0" rtlCol="0">
                          <a:noAutofit/>
                        </wps:bodyPr>
                      </wps:wsp>
                      <wps:wsp>
                        <wps:cNvPr id="78" name="Textbox 78"/>
                        <wps:cNvSpPr txBox="1"/>
                        <wps:spPr>
                          <a:xfrm>
                            <a:off x="6512509" y="488912"/>
                            <a:ext cx="71120" cy="114935"/>
                          </a:xfrm>
                          <a:prstGeom prst="rect">
                            <a:avLst/>
                          </a:prstGeom>
                        </wps:spPr>
                        <wps:txbx>
                          <w:txbxContent>
                            <w:p w14:paraId="34B7D055" w14:textId="77777777" w:rsidR="00E1198C" w:rsidRDefault="00000000">
                              <w:pPr>
                                <w:spacing w:line="180" w:lineRule="exact"/>
                                <w:rPr>
                                  <w:sz w:val="18"/>
                                </w:rPr>
                              </w:pPr>
                              <w:r>
                                <w:rPr>
                                  <w:color w:val="231F20"/>
                                  <w:sz w:val="18"/>
                                </w:rPr>
                                <w:t>0</w:t>
                              </w:r>
                            </w:p>
                          </w:txbxContent>
                        </wps:txbx>
                        <wps:bodyPr wrap="square" lIns="0" tIns="0" rIns="0" bIns="0" rtlCol="0">
                          <a:noAutofit/>
                        </wps:bodyPr>
                      </wps:wsp>
                    </wpg:wgp>
                  </a:graphicData>
                </a:graphic>
                <wp14:sizeRelV relativeFrom="margin">
                  <wp14:pctHeight>0</wp14:pctHeight>
                </wp14:sizeRelV>
              </wp:anchor>
            </w:drawing>
          </mc:Choice>
          <mc:Fallback>
            <w:pict>
              <v:group w14:anchorId="6FF7A008" id="Group 72" o:spid="_x0000_s1057" style="position:absolute;margin-left:34.9pt;margin-top:6.4pt;width:525.5pt;height:52pt;z-index:-251652608;mso-wrap-distance-left:0;mso-wrap-distance-right:0;mso-position-horizontal-relative:page;mso-position-vertical-relative:text;mso-height-relative:margin" coordsize="66742,66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">
                <v:shape id="Image 73" o:spid="_x0000_s1058" type="#_x0000_t75" style="position:absolute;width:66742;height:64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">
                  <v:imagedata r:id="rId21" o:title=""/>
                </v:shape>
                <v:shape id="Textbox 74" o:spid="_x0000_s1059" type="#_x0000_t202" style="position:absolute;left:50593;top:921;width:2451;height:1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" filled="f" stroked="f">
                  <v:textbox inset="0,0,0,0">
                    <w:txbxContent>
                      <w:p w14:paraId="5B5B7F5D" w14:textId="77777777" w:rsidR="00E1198C" w:rsidRDefault="00000000">
                        <w:pPr>
                          <w:spacing w:line="180" w:lineRule="exact"/>
                          <w:rPr>
                            <w:b/>
                            <w:sz w:val="18"/>
                          </w:rPr>
                        </w:pPr>
                        <w:r>
                          <w:rPr>
                            <w:b/>
                            <w:color w:val="FFFFFF"/>
                            <w:sz w:val="18"/>
                          </w:rPr>
                          <w:t>2024</w:t>
                        </w:r>
                      </w:p>
                    </w:txbxContent>
                  </v:textbox>
                </v:shape>
                <v:shape id="Textbox 75" o:spid="_x0000_s1060" type="#_x0000_t202" style="position:absolute;left:60519;top:921;width:2451;height:1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" filled="f" stroked="f">
                  <v:textbox inset="0,0,0,0">
                    <w:txbxContent>
                      <w:p w14:paraId="7729FDF7" w14:textId="77777777" w:rsidR="00E1198C" w:rsidRDefault="00000000">
                        <w:pPr>
                          <w:spacing w:line="180" w:lineRule="exact"/>
                          <w:rPr>
                            <w:b/>
                            <w:sz w:val="18"/>
                          </w:rPr>
                        </w:pPr>
                        <w:r>
                          <w:rPr>
                            <w:b/>
                            <w:color w:val="FFFFFF"/>
                            <w:sz w:val="18"/>
                          </w:rPr>
                          <w:t>2023</w:t>
                        </w:r>
                      </w:p>
                    </w:txbxContent>
                  </v:textbox>
                </v:shape>
                <v:shape id="Textbox 76" o:spid="_x0000_s1061" type="#_x0000_t202" style="position:absolute;left:71;top:3001;width:46916;height:3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" filled="f" stroked="f">
                  <v:textbox inset="0,0,0,0">
                    <w:txbxContent>
                      <w:p w14:paraId="3A8BAA36" w14:textId="77777777" w:rsidR="00E1198C" w:rsidRPr="00720E33" w:rsidRDefault="00000000">
                        <w:pPr>
                          <w:spacing w:line="197" w:lineRule="exact"/>
                          <w:rPr>
                            <w:sz w:val="14"/>
                            <w:szCs w:val="18"/>
                          </w:rPr>
                        </w:pPr>
                        <w:r w:rsidRPr="00720E33">
                          <w:rPr>
                            <w:color w:val="231F20"/>
                            <w:sz w:val="14"/>
                            <w:szCs w:val="18"/>
                          </w:rPr>
                          <w:t>Remuneration paid to the members of the Management Board for performing functions in the Management Board</w:t>
                        </w:r>
                      </w:p>
                      <w:p w14:paraId="1B0DAD3D" w14:textId="77777777" w:rsidR="00E1198C" w:rsidRDefault="00000000">
                        <w:pPr>
                          <w:spacing w:before="75" w:line="207" w:lineRule="exact"/>
                          <w:rPr>
                            <w:sz w:val="18"/>
                          </w:rPr>
                        </w:pPr>
                        <w:r>
                          <w:rPr>
                            <w:color w:val="231F20"/>
                            <w:sz w:val="18"/>
                          </w:rPr>
                          <w:t>Maciej Wieczorek</w:t>
                        </w:r>
                      </w:p>
                    </w:txbxContent>
                  </v:textbox>
                </v:shape>
                <v:shape id="Textbox 77" o:spid="_x0000_s1062" type="#_x0000_t202" style="position:absolute;left:55231;top:4889;width:712;height:1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" filled="f" stroked="f">
                  <v:textbox inset="0,0,0,0">
                    <w:txbxContent>
                      <w:p w14:paraId="1D8A7FD1" w14:textId="77777777" w:rsidR="00E1198C" w:rsidRDefault="00000000">
                        <w:pPr>
                          <w:spacing w:line="180" w:lineRule="exact"/>
                          <w:rPr>
                            <w:sz w:val="18"/>
                          </w:rPr>
                        </w:pPr>
                        <w:r>
                          <w:rPr>
                            <w:color w:val="231F20"/>
                            <w:sz w:val="18"/>
                          </w:rPr>
                          <w:t>0</w:t>
                        </w:r>
                      </w:p>
                    </w:txbxContent>
                  </v:textbox>
                </v:shape>
                <v:shape id="Textbox 78" o:spid="_x0000_s1063" type="#_x0000_t202" style="position:absolute;left:65125;top:4889;width:711;height:1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" filled="f" stroked="f">
                  <v:textbox inset="0,0,0,0">
                    <w:txbxContent>
                      <w:p w14:paraId="34B7D055" w14:textId="77777777" w:rsidR="00E1198C" w:rsidRDefault="00000000">
                        <w:pPr>
                          <w:spacing w:line="180" w:lineRule="exact"/>
                          <w:rPr>
                            <w:sz w:val="18"/>
                          </w:rPr>
                        </w:pPr>
                        <w:r>
                          <w:rPr>
                            <w:color w:val="231F20"/>
                            <w:sz w:val="18"/>
                          </w:rPr>
                          <w:t>0</w:t>
                        </w:r>
                      </w:p>
                    </w:txbxContent>
                  </v:textbox>
                </v:shape>
                <w10:wrap type="topAndBottom" anchorx="page"/>
              </v:group>
            </w:pict>
          </mc:Fallback>
        </mc:AlternateContent>
      </w:r>
    </w:p>
    <w:p w14:paraId="6EF86C44" w14:textId="77777777" w:rsidR="00E1198C" w:rsidRDefault="00E1198C">
      <w:pPr>
        <w:rPr>
          <w:sz w:val="9"/>
        </w:rPr>
        <w:sectPr w:rsidR="00E1198C">
          <w:pgSz w:w="11900" w:h="16840"/>
          <w:pgMar w:top="820" w:right="320" w:bottom="920" w:left="300" w:header="0" w:footer="726" w:gutter="0"/>
          <w:cols w:space="708"/>
        </w:sectPr>
      </w:pPr>
    </w:p>
    <w:p w14:paraId="4B5E6E67" w14:textId="037C583C" w:rsidR="00E1198C" w:rsidRDefault="00720E33">
      <w:pPr>
        <w:pStyle w:val="Tekstpodstawowy"/>
        <w:spacing w:before="8"/>
        <w:rPr>
          <w:sz w:val="5"/>
        </w:rPr>
      </w:pPr>
      <w:r>
        <w:rPr>
          <w:noProof/>
        </w:rPr>
        <w:lastRenderedPageBreak/>
        <w:drawing>
          <wp:anchor distT="0" distB="0" distL="0" distR="0" simplePos="0" relativeHeight="251660800" behindDoc="1" locked="0" layoutInCell="1" allowOverlap="1" wp14:anchorId="25696A25" wp14:editId="5CCADCFB">
            <wp:simplePos x="0" y="0"/>
            <wp:positionH relativeFrom="page">
              <wp:posOffset>442595</wp:posOffset>
            </wp:positionH>
            <wp:positionV relativeFrom="paragraph">
              <wp:posOffset>-9053</wp:posOffset>
            </wp:positionV>
            <wp:extent cx="6673850" cy="8324850"/>
            <wp:effectExtent l="0" t="0" r="0" b="0"/>
            <wp:wrapNone/>
            <wp:docPr id="79" name="Image 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9" name="Image 79"/>
                    <pic:cNvPicPr/>
                  </pic:nvPicPr>
                  <pic:blipFill>
                    <a:blip r:embed="rId22" cstate="print"/>
                    <a:stretch>
                      <a:fillRect/>
                    </a:stretch>
                  </pic:blipFill>
                  <pic:spPr>
                    <a:xfrm>
                      <a:off x="0" y="0"/>
                      <a:ext cx="6673850" cy="8324850"/>
                    </a:xfrm>
                    <a:prstGeom prst="rect">
                      <a:avLst/>
                    </a:prstGeom>
                  </pic:spPr>
                </pic:pic>
              </a:graphicData>
            </a:graphic>
          </wp:anchor>
        </w:drawing>
      </w:r>
    </w:p>
    <w:tbl>
      <w:tblPr>
        <w:tblStyle w:val="TableNormal"/>
        <w:tblW w:w="10399" w:type="dxa"/>
        <w:tblInd w:w="366" w:type="dxa"/>
        <w:tblLayout w:type="fixed"/>
        <w:tblLook w:val="01E0" w:firstRow="1" w:lastRow="1" w:firstColumn="1" w:lastColumn="1" w:noHBand="0" w:noVBand="0"/>
      </w:tblPr>
      <w:tblGrid>
        <w:gridCol w:w="7147"/>
        <w:gridCol w:w="2126"/>
        <w:gridCol w:w="1126"/>
      </w:tblGrid>
      <w:tr w:rsidR="00E1198C" w14:paraId="7F19BF2F" w14:textId="77777777" w:rsidTr="00720E33">
        <w:trPr>
          <w:trHeight w:val="238"/>
        </w:trPr>
        <w:tc>
          <w:tcPr>
            <w:tcW w:w="7147" w:type="dxa"/>
          </w:tcPr>
          <w:p w14:paraId="00BE4F72" w14:textId="23B575FE" w:rsidR="00E1198C" w:rsidRDefault="00000000">
            <w:pPr>
              <w:pStyle w:val="TableParagraph"/>
              <w:spacing w:line="197" w:lineRule="exact"/>
              <w:ind w:left="50"/>
              <w:rPr>
                <w:sz w:val="18"/>
              </w:rPr>
            </w:pPr>
            <w:r>
              <w:rPr>
                <w:color w:val="231F20"/>
                <w:sz w:val="18"/>
              </w:rPr>
              <w:t>Bartosz Szałek</w:t>
            </w:r>
          </w:p>
        </w:tc>
        <w:tc>
          <w:tcPr>
            <w:tcW w:w="2126" w:type="dxa"/>
          </w:tcPr>
          <w:p w14:paraId="1FFA7CB7" w14:textId="77777777" w:rsidR="00E1198C" w:rsidRDefault="00000000">
            <w:pPr>
              <w:pStyle w:val="TableParagraph"/>
              <w:spacing w:line="198" w:lineRule="exact"/>
              <w:ind w:right="482"/>
              <w:jc w:val="right"/>
              <w:rPr>
                <w:sz w:val="18"/>
              </w:rPr>
            </w:pPr>
            <w:r>
              <w:rPr>
                <w:color w:val="231F20"/>
                <w:sz w:val="18"/>
              </w:rPr>
              <w:t>0</w:t>
            </w:r>
          </w:p>
        </w:tc>
        <w:tc>
          <w:tcPr>
            <w:tcW w:w="1126" w:type="dxa"/>
          </w:tcPr>
          <w:p w14:paraId="678F4A14" w14:textId="77777777" w:rsidR="00E1198C" w:rsidRDefault="00000000">
            <w:pPr>
              <w:pStyle w:val="TableParagraph"/>
              <w:spacing w:line="198" w:lineRule="exact"/>
              <w:ind w:right="50"/>
              <w:jc w:val="right"/>
              <w:rPr>
                <w:sz w:val="18"/>
              </w:rPr>
            </w:pPr>
            <w:r>
              <w:rPr>
                <w:color w:val="231F20"/>
                <w:sz w:val="18"/>
              </w:rPr>
              <w:t>0</w:t>
            </w:r>
          </w:p>
        </w:tc>
      </w:tr>
      <w:tr w:rsidR="00E1198C" w14:paraId="61FD741F" w14:textId="77777777" w:rsidTr="00720E33">
        <w:trPr>
          <w:trHeight w:val="585"/>
        </w:trPr>
        <w:tc>
          <w:tcPr>
            <w:tcW w:w="7147" w:type="dxa"/>
          </w:tcPr>
          <w:p w14:paraId="31920689" w14:textId="4A1192FB" w:rsidR="009903A1" w:rsidRPr="009903A1" w:rsidRDefault="00000000" w:rsidP="009903A1">
            <w:pPr>
              <w:pStyle w:val="TableParagraph"/>
              <w:spacing w:before="31"/>
              <w:ind w:left="50"/>
              <w:rPr>
                <w:color w:val="231F20"/>
                <w:spacing w:val="-2"/>
                <w:sz w:val="18"/>
              </w:rPr>
            </w:pPr>
            <w:r>
              <w:rPr>
                <w:color w:val="231F20"/>
                <w:sz w:val="18"/>
              </w:rPr>
              <w:t>Jacek Glinka</w:t>
            </w:r>
          </w:p>
          <w:p w14:paraId="3A4C7F54" w14:textId="77777777" w:rsidR="00E1198C" w:rsidRDefault="00000000">
            <w:pPr>
              <w:pStyle w:val="TableParagraph"/>
              <w:spacing w:before="73"/>
              <w:ind w:left="50"/>
              <w:rPr>
                <w:sz w:val="18"/>
              </w:rPr>
            </w:pPr>
            <w:r>
              <w:rPr>
                <w:color w:val="231F20"/>
                <w:sz w:val="18"/>
              </w:rPr>
              <w:t>Remuneration paid to members of the Management Board under the employment contract</w:t>
            </w:r>
          </w:p>
        </w:tc>
        <w:tc>
          <w:tcPr>
            <w:tcW w:w="2126" w:type="dxa"/>
          </w:tcPr>
          <w:p w14:paraId="23BD98FA" w14:textId="77777777" w:rsidR="00E1198C" w:rsidRDefault="00000000">
            <w:pPr>
              <w:pStyle w:val="TableParagraph"/>
              <w:spacing w:before="32"/>
              <w:ind w:right="486"/>
              <w:jc w:val="right"/>
              <w:rPr>
                <w:sz w:val="18"/>
              </w:rPr>
            </w:pPr>
            <w:r>
              <w:rPr>
                <w:color w:val="231F20"/>
                <w:sz w:val="18"/>
              </w:rPr>
              <w:t>0</w:t>
            </w:r>
          </w:p>
        </w:tc>
        <w:tc>
          <w:tcPr>
            <w:tcW w:w="1126" w:type="dxa"/>
          </w:tcPr>
          <w:p w14:paraId="3BA27208" w14:textId="77777777" w:rsidR="00E1198C" w:rsidRDefault="00000000">
            <w:pPr>
              <w:pStyle w:val="TableParagraph"/>
              <w:spacing w:before="32"/>
              <w:ind w:right="53"/>
              <w:jc w:val="right"/>
              <w:rPr>
                <w:sz w:val="18"/>
              </w:rPr>
            </w:pPr>
            <w:r>
              <w:rPr>
                <w:color w:val="231F20"/>
                <w:sz w:val="18"/>
              </w:rPr>
              <w:t>176,291</w:t>
            </w:r>
          </w:p>
        </w:tc>
      </w:tr>
      <w:tr w:rsidR="00E1198C" w14:paraId="526BA7B7" w14:textId="77777777" w:rsidTr="00720E33">
        <w:trPr>
          <w:trHeight w:val="60"/>
        </w:trPr>
        <w:tc>
          <w:tcPr>
            <w:tcW w:w="7147" w:type="dxa"/>
          </w:tcPr>
          <w:p w14:paraId="535CB396" w14:textId="77777777" w:rsidR="00E1198C" w:rsidRDefault="00000000">
            <w:pPr>
              <w:pStyle w:val="TableParagraph"/>
              <w:spacing w:before="33"/>
              <w:ind w:left="50"/>
              <w:rPr>
                <w:sz w:val="18"/>
              </w:rPr>
            </w:pPr>
            <w:r>
              <w:rPr>
                <w:color w:val="231F20"/>
                <w:sz w:val="18"/>
              </w:rPr>
              <w:t>Maciej Wieczorek</w:t>
            </w:r>
          </w:p>
        </w:tc>
        <w:tc>
          <w:tcPr>
            <w:tcW w:w="2126" w:type="dxa"/>
          </w:tcPr>
          <w:p w14:paraId="266251AB" w14:textId="77777777" w:rsidR="00E1198C" w:rsidRDefault="00000000">
            <w:pPr>
              <w:pStyle w:val="TableParagraph"/>
              <w:spacing w:before="32"/>
              <w:ind w:right="479"/>
              <w:jc w:val="right"/>
              <w:rPr>
                <w:sz w:val="18"/>
              </w:rPr>
            </w:pPr>
            <w:r>
              <w:rPr>
                <w:color w:val="231F20"/>
                <w:sz w:val="18"/>
              </w:rPr>
              <w:t>0</w:t>
            </w:r>
          </w:p>
        </w:tc>
        <w:tc>
          <w:tcPr>
            <w:tcW w:w="1126" w:type="dxa"/>
          </w:tcPr>
          <w:p w14:paraId="24E3CE3C" w14:textId="77777777" w:rsidR="00E1198C" w:rsidRDefault="00000000">
            <w:pPr>
              <w:pStyle w:val="TableParagraph"/>
              <w:spacing w:before="32"/>
              <w:ind w:right="47"/>
              <w:jc w:val="right"/>
              <w:rPr>
                <w:sz w:val="18"/>
              </w:rPr>
            </w:pPr>
            <w:r>
              <w:rPr>
                <w:color w:val="231F20"/>
                <w:sz w:val="18"/>
              </w:rPr>
              <w:t>0</w:t>
            </w:r>
          </w:p>
        </w:tc>
      </w:tr>
      <w:tr w:rsidR="00E1198C" w14:paraId="7F572F9E" w14:textId="77777777" w:rsidTr="00720E33">
        <w:trPr>
          <w:trHeight w:val="317"/>
        </w:trPr>
        <w:tc>
          <w:tcPr>
            <w:tcW w:w="7147" w:type="dxa"/>
          </w:tcPr>
          <w:p w14:paraId="070E021B" w14:textId="77777777" w:rsidR="00E1198C" w:rsidRDefault="00000000">
            <w:pPr>
              <w:pStyle w:val="TableParagraph"/>
              <w:spacing w:before="50"/>
              <w:ind w:left="50"/>
              <w:rPr>
                <w:sz w:val="18"/>
              </w:rPr>
            </w:pPr>
            <w:r>
              <w:rPr>
                <w:color w:val="231F20"/>
                <w:sz w:val="18"/>
              </w:rPr>
              <w:t>Bartosz Szałek</w:t>
            </w:r>
          </w:p>
        </w:tc>
        <w:tc>
          <w:tcPr>
            <w:tcW w:w="2126" w:type="dxa"/>
          </w:tcPr>
          <w:p w14:paraId="3F738B7E" w14:textId="77777777" w:rsidR="00E1198C" w:rsidRDefault="00000000">
            <w:pPr>
              <w:pStyle w:val="TableParagraph"/>
              <w:spacing w:before="28"/>
              <w:ind w:right="472"/>
              <w:jc w:val="right"/>
              <w:rPr>
                <w:sz w:val="18"/>
              </w:rPr>
            </w:pPr>
            <w:r>
              <w:rPr>
                <w:color w:val="231F20"/>
                <w:sz w:val="18"/>
              </w:rPr>
              <w:t>143,921</w:t>
            </w:r>
          </w:p>
        </w:tc>
        <w:tc>
          <w:tcPr>
            <w:tcW w:w="1126" w:type="dxa"/>
          </w:tcPr>
          <w:p w14:paraId="4EBB37C4" w14:textId="77777777" w:rsidR="00E1198C" w:rsidRDefault="00000000">
            <w:pPr>
              <w:pStyle w:val="TableParagraph"/>
              <w:spacing w:before="51"/>
              <w:ind w:right="47"/>
              <w:jc w:val="right"/>
              <w:rPr>
                <w:sz w:val="18"/>
              </w:rPr>
            </w:pPr>
            <w:r>
              <w:rPr>
                <w:color w:val="231F20"/>
                <w:sz w:val="18"/>
              </w:rPr>
              <w:t>54,450</w:t>
            </w:r>
          </w:p>
        </w:tc>
      </w:tr>
      <w:tr w:rsidR="00E1198C" w14:paraId="228AFFCD" w14:textId="77777777" w:rsidTr="00720E33">
        <w:trPr>
          <w:trHeight w:val="303"/>
        </w:trPr>
        <w:tc>
          <w:tcPr>
            <w:tcW w:w="7147" w:type="dxa"/>
          </w:tcPr>
          <w:p w14:paraId="4ECAC34C" w14:textId="77777777" w:rsidR="00E1198C" w:rsidRDefault="00000000">
            <w:pPr>
              <w:pStyle w:val="TableParagraph"/>
              <w:spacing w:before="36"/>
              <w:ind w:left="50"/>
              <w:rPr>
                <w:sz w:val="18"/>
              </w:rPr>
            </w:pPr>
            <w:r>
              <w:rPr>
                <w:color w:val="231F20"/>
                <w:sz w:val="18"/>
              </w:rPr>
              <w:t>Dorota Zwolińska</w:t>
            </w:r>
          </w:p>
        </w:tc>
        <w:tc>
          <w:tcPr>
            <w:tcW w:w="2126" w:type="dxa"/>
          </w:tcPr>
          <w:p w14:paraId="53B32109" w14:textId="77777777" w:rsidR="00E1198C" w:rsidRDefault="00000000">
            <w:pPr>
              <w:pStyle w:val="TableParagraph"/>
              <w:spacing w:before="38"/>
              <w:ind w:right="485"/>
              <w:jc w:val="right"/>
              <w:rPr>
                <w:sz w:val="18"/>
              </w:rPr>
            </w:pPr>
            <w:r>
              <w:rPr>
                <w:color w:val="231F20"/>
                <w:sz w:val="18"/>
              </w:rPr>
              <w:t>0</w:t>
            </w:r>
          </w:p>
        </w:tc>
        <w:tc>
          <w:tcPr>
            <w:tcW w:w="1126" w:type="dxa"/>
          </w:tcPr>
          <w:p w14:paraId="1A073BBA" w14:textId="77777777" w:rsidR="00E1198C" w:rsidRDefault="00000000">
            <w:pPr>
              <w:pStyle w:val="TableParagraph"/>
              <w:spacing w:before="38"/>
              <w:ind w:right="53"/>
              <w:jc w:val="right"/>
              <w:rPr>
                <w:sz w:val="18"/>
              </w:rPr>
            </w:pPr>
            <w:r>
              <w:rPr>
                <w:color w:val="231F20"/>
                <w:sz w:val="18"/>
              </w:rPr>
              <w:t>114,962</w:t>
            </w:r>
          </w:p>
        </w:tc>
      </w:tr>
      <w:tr w:rsidR="00E1198C" w14:paraId="624A9193" w14:textId="77777777" w:rsidTr="00720E33">
        <w:trPr>
          <w:trHeight w:val="305"/>
        </w:trPr>
        <w:tc>
          <w:tcPr>
            <w:tcW w:w="7147" w:type="dxa"/>
          </w:tcPr>
          <w:p w14:paraId="49841BE9" w14:textId="77777777" w:rsidR="00E1198C" w:rsidRDefault="00000000">
            <w:pPr>
              <w:pStyle w:val="TableParagraph"/>
              <w:spacing w:before="36"/>
              <w:ind w:left="50"/>
              <w:rPr>
                <w:sz w:val="18"/>
              </w:rPr>
            </w:pPr>
            <w:r>
              <w:rPr>
                <w:color w:val="231F20"/>
                <w:sz w:val="18"/>
              </w:rPr>
              <w:t>Other</w:t>
            </w:r>
          </w:p>
        </w:tc>
        <w:tc>
          <w:tcPr>
            <w:tcW w:w="2126" w:type="dxa"/>
          </w:tcPr>
          <w:p w14:paraId="6C2F9B93" w14:textId="77777777" w:rsidR="00E1198C" w:rsidRDefault="00E1198C">
            <w:pPr>
              <w:pStyle w:val="TableParagraph"/>
              <w:rPr>
                <w:rFonts w:ascii="Times New Roman"/>
                <w:sz w:val="18"/>
              </w:rPr>
            </w:pPr>
          </w:p>
        </w:tc>
        <w:tc>
          <w:tcPr>
            <w:tcW w:w="1126" w:type="dxa"/>
          </w:tcPr>
          <w:p w14:paraId="79703FC0" w14:textId="77777777" w:rsidR="00E1198C" w:rsidRDefault="00E1198C">
            <w:pPr>
              <w:pStyle w:val="TableParagraph"/>
              <w:rPr>
                <w:rFonts w:ascii="Times New Roman"/>
                <w:sz w:val="18"/>
              </w:rPr>
            </w:pPr>
          </w:p>
        </w:tc>
      </w:tr>
      <w:tr w:rsidR="00E1198C" w14:paraId="51083EFA" w14:textId="77777777" w:rsidTr="00720E33">
        <w:trPr>
          <w:trHeight w:val="313"/>
        </w:trPr>
        <w:tc>
          <w:tcPr>
            <w:tcW w:w="7147" w:type="dxa"/>
          </w:tcPr>
          <w:p w14:paraId="61BF92BC" w14:textId="77777777" w:rsidR="00E1198C" w:rsidRDefault="00000000">
            <w:pPr>
              <w:pStyle w:val="TableParagraph"/>
              <w:spacing w:before="37"/>
              <w:ind w:left="50"/>
              <w:rPr>
                <w:sz w:val="18"/>
              </w:rPr>
            </w:pPr>
            <w:r>
              <w:rPr>
                <w:color w:val="231F20"/>
                <w:sz w:val="18"/>
              </w:rPr>
              <w:t>Maciej Wieczorek</w:t>
            </w:r>
          </w:p>
        </w:tc>
        <w:tc>
          <w:tcPr>
            <w:tcW w:w="2126" w:type="dxa"/>
          </w:tcPr>
          <w:p w14:paraId="0D6D2A70" w14:textId="77777777" w:rsidR="00E1198C" w:rsidRDefault="00000000">
            <w:pPr>
              <w:pStyle w:val="TableParagraph"/>
              <w:spacing w:before="47"/>
              <w:ind w:right="482"/>
              <w:jc w:val="right"/>
              <w:rPr>
                <w:sz w:val="18"/>
              </w:rPr>
            </w:pPr>
            <w:r>
              <w:rPr>
                <w:color w:val="231F20"/>
                <w:sz w:val="18"/>
              </w:rPr>
              <w:t>78,000</w:t>
            </w:r>
          </w:p>
        </w:tc>
        <w:tc>
          <w:tcPr>
            <w:tcW w:w="1126" w:type="dxa"/>
          </w:tcPr>
          <w:p w14:paraId="3001D2FF" w14:textId="77777777" w:rsidR="00E1198C" w:rsidRDefault="00000000">
            <w:pPr>
              <w:pStyle w:val="TableParagraph"/>
              <w:spacing w:before="47"/>
              <w:ind w:right="50"/>
              <w:jc w:val="right"/>
              <w:rPr>
                <w:sz w:val="18"/>
              </w:rPr>
            </w:pPr>
            <w:r>
              <w:rPr>
                <w:color w:val="231F20"/>
                <w:sz w:val="18"/>
              </w:rPr>
              <w:t>0</w:t>
            </w:r>
          </w:p>
        </w:tc>
      </w:tr>
      <w:tr w:rsidR="00E1198C" w14:paraId="203881F5" w14:textId="77777777" w:rsidTr="00720E33">
        <w:trPr>
          <w:trHeight w:val="303"/>
        </w:trPr>
        <w:tc>
          <w:tcPr>
            <w:tcW w:w="7147" w:type="dxa"/>
          </w:tcPr>
          <w:p w14:paraId="4464DB74" w14:textId="77777777" w:rsidR="00E1198C" w:rsidRDefault="00000000">
            <w:pPr>
              <w:pStyle w:val="TableParagraph"/>
              <w:spacing w:before="36"/>
              <w:ind w:left="50"/>
              <w:rPr>
                <w:sz w:val="18"/>
              </w:rPr>
            </w:pPr>
            <w:r>
              <w:rPr>
                <w:color w:val="231F20"/>
                <w:sz w:val="18"/>
              </w:rPr>
              <w:t>Bartosz Szałek</w:t>
            </w:r>
          </w:p>
        </w:tc>
        <w:tc>
          <w:tcPr>
            <w:tcW w:w="2126" w:type="dxa"/>
          </w:tcPr>
          <w:p w14:paraId="6C43DACA" w14:textId="77777777" w:rsidR="00E1198C" w:rsidRDefault="00000000">
            <w:pPr>
              <w:pStyle w:val="TableParagraph"/>
              <w:spacing w:before="38"/>
              <w:ind w:right="482"/>
              <w:jc w:val="right"/>
              <w:rPr>
                <w:sz w:val="18"/>
              </w:rPr>
            </w:pPr>
            <w:r>
              <w:rPr>
                <w:color w:val="231F20"/>
                <w:sz w:val="18"/>
              </w:rPr>
              <w:t>509,000</w:t>
            </w:r>
          </w:p>
        </w:tc>
        <w:tc>
          <w:tcPr>
            <w:tcW w:w="1126" w:type="dxa"/>
          </w:tcPr>
          <w:p w14:paraId="022D5592" w14:textId="77777777" w:rsidR="00E1198C" w:rsidRDefault="00000000">
            <w:pPr>
              <w:pStyle w:val="TableParagraph"/>
              <w:spacing w:before="38"/>
              <w:ind w:right="49"/>
              <w:jc w:val="right"/>
              <w:rPr>
                <w:sz w:val="18"/>
              </w:rPr>
            </w:pPr>
            <w:r>
              <w:rPr>
                <w:color w:val="231F20"/>
                <w:sz w:val="18"/>
              </w:rPr>
              <w:t>192,000</w:t>
            </w:r>
          </w:p>
        </w:tc>
      </w:tr>
      <w:tr w:rsidR="00E1198C" w14:paraId="02F0FF28" w14:textId="77777777" w:rsidTr="00720E33">
        <w:trPr>
          <w:trHeight w:val="306"/>
        </w:trPr>
        <w:tc>
          <w:tcPr>
            <w:tcW w:w="7147" w:type="dxa"/>
          </w:tcPr>
          <w:p w14:paraId="32DE4529" w14:textId="77777777" w:rsidR="00E1198C" w:rsidRDefault="00000000">
            <w:pPr>
              <w:pStyle w:val="TableParagraph"/>
              <w:spacing w:before="36"/>
              <w:ind w:left="50"/>
              <w:rPr>
                <w:sz w:val="18"/>
              </w:rPr>
            </w:pPr>
            <w:r>
              <w:rPr>
                <w:color w:val="231F20"/>
                <w:sz w:val="18"/>
              </w:rPr>
              <w:t>Jacek Glinka</w:t>
            </w:r>
          </w:p>
        </w:tc>
        <w:tc>
          <w:tcPr>
            <w:tcW w:w="2126" w:type="dxa"/>
          </w:tcPr>
          <w:p w14:paraId="1410065F" w14:textId="77777777" w:rsidR="00E1198C" w:rsidRDefault="00000000">
            <w:pPr>
              <w:pStyle w:val="TableParagraph"/>
              <w:spacing w:before="38"/>
              <w:ind w:right="491"/>
              <w:jc w:val="right"/>
              <w:rPr>
                <w:sz w:val="18"/>
              </w:rPr>
            </w:pPr>
            <w:r>
              <w:rPr>
                <w:color w:val="231F20"/>
                <w:sz w:val="18"/>
              </w:rPr>
              <w:t>0</w:t>
            </w:r>
          </w:p>
        </w:tc>
        <w:tc>
          <w:tcPr>
            <w:tcW w:w="1126" w:type="dxa"/>
          </w:tcPr>
          <w:p w14:paraId="45D12122" w14:textId="77777777" w:rsidR="00E1198C" w:rsidRDefault="00000000">
            <w:pPr>
              <w:pStyle w:val="TableParagraph"/>
              <w:spacing w:before="38"/>
              <w:ind w:right="58"/>
              <w:jc w:val="right"/>
              <w:rPr>
                <w:sz w:val="18"/>
              </w:rPr>
            </w:pPr>
            <w:r>
              <w:rPr>
                <w:color w:val="231F20"/>
                <w:sz w:val="18"/>
              </w:rPr>
              <w:t>789,000</w:t>
            </w:r>
          </w:p>
        </w:tc>
      </w:tr>
      <w:tr w:rsidR="00E1198C" w14:paraId="152CD678" w14:textId="77777777" w:rsidTr="00720E33">
        <w:trPr>
          <w:trHeight w:val="249"/>
        </w:trPr>
        <w:tc>
          <w:tcPr>
            <w:tcW w:w="7147" w:type="dxa"/>
          </w:tcPr>
          <w:p w14:paraId="727940EC" w14:textId="77777777" w:rsidR="00E1198C" w:rsidRDefault="00000000">
            <w:pPr>
              <w:pStyle w:val="TableParagraph"/>
              <w:spacing w:before="45" w:line="183" w:lineRule="exact"/>
              <w:ind w:left="50"/>
              <w:rPr>
                <w:sz w:val="18"/>
              </w:rPr>
            </w:pPr>
            <w:r>
              <w:rPr>
                <w:color w:val="231F20"/>
                <w:sz w:val="18"/>
              </w:rPr>
              <w:t>Dorota Zwolińska</w:t>
            </w:r>
          </w:p>
        </w:tc>
        <w:tc>
          <w:tcPr>
            <w:tcW w:w="2126" w:type="dxa"/>
          </w:tcPr>
          <w:p w14:paraId="30BCA210" w14:textId="77777777" w:rsidR="00E1198C" w:rsidRDefault="00E1198C">
            <w:pPr>
              <w:pStyle w:val="TableParagraph"/>
              <w:rPr>
                <w:rFonts w:ascii="Times New Roman"/>
                <w:sz w:val="18"/>
              </w:rPr>
            </w:pPr>
          </w:p>
        </w:tc>
        <w:tc>
          <w:tcPr>
            <w:tcW w:w="1126" w:type="dxa"/>
          </w:tcPr>
          <w:p w14:paraId="4FA201D3" w14:textId="77777777" w:rsidR="00E1198C" w:rsidRDefault="00000000">
            <w:pPr>
              <w:pStyle w:val="TableParagraph"/>
              <w:spacing w:before="35" w:line="194" w:lineRule="exact"/>
              <w:ind w:right="53"/>
              <w:jc w:val="right"/>
              <w:rPr>
                <w:sz w:val="18"/>
              </w:rPr>
            </w:pPr>
            <w:r>
              <w:rPr>
                <w:color w:val="231F20"/>
                <w:sz w:val="18"/>
              </w:rPr>
              <w:t>184,000</w:t>
            </w:r>
          </w:p>
        </w:tc>
      </w:tr>
    </w:tbl>
    <w:p w14:paraId="742C72C3" w14:textId="24D2091B" w:rsidR="00E1198C" w:rsidRDefault="00000000">
      <w:pPr>
        <w:pStyle w:val="Tekstpodstawowy"/>
        <w:spacing w:before="184" w:line="276" w:lineRule="auto"/>
        <w:ind w:left="510" w:right="478"/>
        <w:jc w:val="both"/>
      </w:pPr>
      <w:r>
        <w:t>With regard to benefits paid upon termination of employment on the basis of employment contracts, the relevant provisions of labor law apply.</w:t>
      </w:r>
      <w:r>
        <w:rPr>
          <w:color w:val="231F20"/>
        </w:rPr>
        <w:t xml:space="preserve"> The Company is not a party to service contracts concluded with members of the Management Board, which would provide for the payment of benefits to these persons upon termination of the employment relationship.</w:t>
      </w:r>
    </w:p>
    <w:p w14:paraId="683B9361" w14:textId="77777777" w:rsidR="00E1198C" w:rsidRDefault="00E1198C">
      <w:pPr>
        <w:pStyle w:val="Tekstpodstawowy"/>
        <w:spacing w:before="24"/>
      </w:pPr>
    </w:p>
    <w:p w14:paraId="5091E9D9" w14:textId="77777777" w:rsidR="00E1198C" w:rsidRDefault="00000000">
      <w:pPr>
        <w:pStyle w:val="Akapitzlist"/>
        <w:numPr>
          <w:ilvl w:val="1"/>
          <w:numId w:val="43"/>
        </w:numPr>
        <w:tabs>
          <w:tab w:val="left" w:pos="1088"/>
        </w:tabs>
        <w:ind w:hanging="578"/>
        <w:rPr>
          <w:sz w:val="18"/>
        </w:rPr>
      </w:pPr>
      <w:r>
        <w:rPr>
          <w:color w:val="F07D00"/>
          <w:sz w:val="18"/>
        </w:rPr>
        <w:t>Conditions and remuneration of members of the Supervisory Board</w:t>
      </w:r>
    </w:p>
    <w:p w14:paraId="08C4FC1B" w14:textId="77777777" w:rsidR="00E1198C" w:rsidRDefault="00E1198C">
      <w:pPr>
        <w:pStyle w:val="Tekstpodstawowy"/>
        <w:spacing w:before="123"/>
      </w:pPr>
    </w:p>
    <w:p w14:paraId="08085C39" w14:textId="77777777" w:rsidR="00E1198C" w:rsidRDefault="00000000">
      <w:pPr>
        <w:pStyle w:val="Tekstpodstawowy"/>
        <w:spacing w:line="276" w:lineRule="auto"/>
        <w:ind w:left="510" w:right="477"/>
        <w:jc w:val="both"/>
      </w:pPr>
      <w:r>
        <w:rPr>
          <w:color w:val="231F20"/>
        </w:rPr>
        <w:t>On June 22, 2023, the Ordinary General Meeting of the Company adopted resolution No. 22 on determining the remuneration of the Supervisory Board members, in which it decided, that as of July 1, 2023, the monthly remuneration of a member of the Supervisory Board of Celon Pharma S.A. will be equal to 125% of the amount of the minimum remuneration for work published annually in “Monitor Polski”, the Official Journal of the Republic of Poland , and the monthly remuneration of the Chairman of the Supervisory Board will be equal to 187.5% of the above-mentioned minimum remuneration; in addition, the monthly remuneration of the members of the Supervisory Board, who also serve in the Audit Committee, will be equal to 125% of the minimum remuneration for work published annually in the “Monitor Polski” Official Journal of the Republic of Poland.</w:t>
      </w:r>
    </w:p>
    <w:p w14:paraId="43C6A3F7" w14:textId="77777777" w:rsidR="00E1198C" w:rsidRDefault="00000000">
      <w:pPr>
        <w:pStyle w:val="Tekstpodstawowy"/>
        <w:spacing w:before="122" w:line="283" w:lineRule="auto"/>
        <w:ind w:left="510" w:right="478"/>
        <w:jc w:val="both"/>
      </w:pPr>
      <w:r>
        <w:rPr>
          <w:color w:val="231F20"/>
        </w:rPr>
        <w:t>In addition, it was decided that the remuneration of the Supervisory Board members, who also serve in the Audit Committee, will be increased by 100%. The remuneration of the members of the Supervisory Board will be paid monthly, starting from June 2020.</w:t>
      </w:r>
    </w:p>
    <w:p w14:paraId="368D097B" w14:textId="77777777" w:rsidR="00E1198C" w:rsidRDefault="00E1198C">
      <w:pPr>
        <w:spacing w:line="283" w:lineRule="auto"/>
        <w:jc w:val="both"/>
        <w:sectPr w:rsidR="00E1198C">
          <w:pgSz w:w="11900" w:h="16840"/>
          <w:pgMar w:top="880" w:right="320" w:bottom="920" w:left="300" w:header="0" w:footer="726" w:gutter="0"/>
          <w:cols w:space="708"/>
        </w:sectPr>
      </w:pPr>
    </w:p>
    <w:p w14:paraId="5BB189DA" w14:textId="31EA358E" w:rsidR="00E1198C" w:rsidRDefault="00000000" w:rsidP="00720E33">
      <w:pPr>
        <w:pStyle w:val="Tekstpodstawowy"/>
        <w:spacing w:before="134"/>
        <w:ind w:left="1985"/>
      </w:pPr>
      <w:r>
        <w:rPr>
          <w:color w:val="FFFFFF"/>
        </w:rPr>
        <w:t>Remuneration paid to Members of the Supervisory Board</w:t>
      </w:r>
    </w:p>
    <w:p w14:paraId="450245B0" w14:textId="77777777" w:rsidR="00E1198C" w:rsidRDefault="00000000">
      <w:pPr>
        <w:spacing w:before="9"/>
        <w:rPr>
          <w:sz w:val="18"/>
        </w:rPr>
      </w:pPr>
      <w:r>
        <w:br w:type="column"/>
      </w:r>
    </w:p>
    <w:p w14:paraId="03385472" w14:textId="77777777" w:rsidR="00E1198C" w:rsidRDefault="00000000">
      <w:pPr>
        <w:tabs>
          <w:tab w:val="left" w:pos="3656"/>
        </w:tabs>
        <w:ind w:left="2216"/>
        <w:rPr>
          <w:b/>
          <w:sz w:val="18"/>
        </w:rPr>
      </w:pPr>
      <w:r>
        <w:rPr>
          <w:noProof/>
        </w:rPr>
        <mc:AlternateContent>
          <mc:Choice Requires="wps">
            <w:drawing>
              <wp:anchor distT="0" distB="0" distL="0" distR="0" simplePos="0" relativeHeight="251650560" behindDoc="0" locked="0" layoutInCell="1" allowOverlap="1" wp14:anchorId="72100640" wp14:editId="6BCCC8F9">
                <wp:simplePos x="0" y="0"/>
                <wp:positionH relativeFrom="page">
                  <wp:posOffset>444656</wp:posOffset>
                </wp:positionH>
                <wp:positionV relativeFrom="paragraph">
                  <wp:posOffset>97583</wp:posOffset>
                </wp:positionV>
                <wp:extent cx="6373495" cy="1243965"/>
                <wp:effectExtent l="0" t="0" r="0" b="0"/>
                <wp:wrapNone/>
                <wp:docPr id="80" name="Text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73495" cy="1243965"/>
                        </a:xfrm>
                        <a:prstGeom prst="rect">
                          <a:avLst/>
                        </a:prstGeom>
                      </wps:spPr>
                      <wps:txbx>
                        <w:txbxContent>
                          <w:tbl>
                            <w:tblPr>
                              <w:tblStyle w:val="TableNormal"/>
                              <w:tblW w:w="0" w:type="auto"/>
                              <w:tblInd w:w="67" w:type="dxa"/>
                              <w:tblLayout w:type="fixed"/>
                              <w:tblLook w:val="01E0" w:firstRow="1" w:lastRow="1" w:firstColumn="1" w:lastColumn="1" w:noHBand="0" w:noVBand="0"/>
                            </w:tblPr>
                            <w:tblGrid>
                              <w:gridCol w:w="2307"/>
                              <w:gridCol w:w="3840"/>
                              <w:gridCol w:w="2721"/>
                              <w:gridCol w:w="1047"/>
                            </w:tblGrid>
                            <w:tr w:rsidR="00E1198C" w14:paraId="3709A1CE" w14:textId="77777777">
                              <w:trPr>
                                <w:trHeight w:val="275"/>
                              </w:trPr>
                              <w:tc>
                                <w:tcPr>
                                  <w:tcW w:w="2307" w:type="dxa"/>
                                </w:tcPr>
                                <w:p w14:paraId="089FF243" w14:textId="77777777" w:rsidR="00E1198C" w:rsidRDefault="00E1198C">
                                  <w:pPr>
                                    <w:pStyle w:val="TableParagraph"/>
                                    <w:rPr>
                                      <w:rFonts w:ascii="Times New Roman"/>
                                      <w:sz w:val="18"/>
                                    </w:rPr>
                                  </w:pPr>
                                </w:p>
                              </w:tc>
                              <w:tc>
                                <w:tcPr>
                                  <w:tcW w:w="3840" w:type="dxa"/>
                                </w:tcPr>
                                <w:p w14:paraId="7B1D9F1F" w14:textId="77777777" w:rsidR="00E1198C" w:rsidRDefault="00000000" w:rsidP="00720E33">
                                  <w:pPr>
                                    <w:pStyle w:val="TableParagraph"/>
                                    <w:spacing w:line="197" w:lineRule="exact"/>
                                    <w:rPr>
                                      <w:sz w:val="18"/>
                                    </w:rPr>
                                  </w:pPr>
                                  <w:r>
                                    <w:rPr>
                                      <w:color w:val="FFFFFF"/>
                                      <w:sz w:val="18"/>
                                    </w:rPr>
                                    <w:t>for the performance of functions</w:t>
                                  </w:r>
                                </w:p>
                              </w:tc>
                              <w:tc>
                                <w:tcPr>
                                  <w:tcW w:w="3768" w:type="dxa"/>
                                  <w:gridSpan w:val="2"/>
                                </w:tcPr>
                                <w:p w14:paraId="3A6E5D9A" w14:textId="77777777" w:rsidR="00E1198C" w:rsidRDefault="00E1198C">
                                  <w:pPr>
                                    <w:pStyle w:val="TableParagraph"/>
                                    <w:rPr>
                                      <w:rFonts w:ascii="Times New Roman"/>
                                      <w:sz w:val="18"/>
                                    </w:rPr>
                                  </w:pPr>
                                </w:p>
                              </w:tc>
                            </w:tr>
                            <w:tr w:rsidR="00E1198C" w14:paraId="095A9B5D" w14:textId="77777777">
                              <w:trPr>
                                <w:trHeight w:val="362"/>
                              </w:trPr>
                              <w:tc>
                                <w:tcPr>
                                  <w:tcW w:w="2307" w:type="dxa"/>
                                </w:tcPr>
                                <w:p w14:paraId="079132E8" w14:textId="77777777" w:rsidR="00E1198C" w:rsidRDefault="00000000">
                                  <w:pPr>
                                    <w:pStyle w:val="TableParagraph"/>
                                    <w:spacing w:before="72"/>
                                    <w:ind w:left="50"/>
                                    <w:rPr>
                                      <w:sz w:val="18"/>
                                    </w:rPr>
                                  </w:pPr>
                                  <w:r>
                                    <w:rPr>
                                      <w:color w:val="231F20"/>
                                      <w:sz w:val="18"/>
                                    </w:rPr>
                                    <w:t>Robert Rzemiński</w:t>
                                  </w:r>
                                </w:p>
                              </w:tc>
                              <w:tc>
                                <w:tcPr>
                                  <w:tcW w:w="3840" w:type="dxa"/>
                                </w:tcPr>
                                <w:p w14:paraId="685AA44D" w14:textId="77777777" w:rsidR="00E1198C" w:rsidRDefault="00E1198C">
                                  <w:pPr>
                                    <w:pStyle w:val="TableParagraph"/>
                                    <w:rPr>
                                      <w:rFonts w:ascii="Times New Roman"/>
                                      <w:sz w:val="18"/>
                                    </w:rPr>
                                  </w:pPr>
                                </w:p>
                              </w:tc>
                              <w:tc>
                                <w:tcPr>
                                  <w:tcW w:w="2721" w:type="dxa"/>
                                </w:tcPr>
                                <w:p w14:paraId="785E1CC0" w14:textId="77777777" w:rsidR="00E1198C" w:rsidRDefault="00000000" w:rsidP="00720E33">
                                  <w:pPr>
                                    <w:pStyle w:val="TableParagraph"/>
                                    <w:spacing w:before="73"/>
                                    <w:ind w:right="292"/>
                                    <w:jc w:val="right"/>
                                    <w:rPr>
                                      <w:sz w:val="18"/>
                                    </w:rPr>
                                  </w:pPr>
                                  <w:r>
                                    <w:rPr>
                                      <w:sz w:val="18"/>
                                    </w:rPr>
                                    <w:t>160,344</w:t>
                                  </w:r>
                                </w:p>
                              </w:tc>
                              <w:tc>
                                <w:tcPr>
                                  <w:tcW w:w="1047" w:type="dxa"/>
                                </w:tcPr>
                                <w:p w14:paraId="4D81D87A" w14:textId="77777777" w:rsidR="00E1198C" w:rsidRDefault="00000000">
                                  <w:pPr>
                                    <w:pStyle w:val="TableParagraph"/>
                                    <w:spacing w:before="73"/>
                                    <w:ind w:right="46"/>
                                    <w:jc w:val="right"/>
                                    <w:rPr>
                                      <w:sz w:val="18"/>
                                    </w:rPr>
                                  </w:pPr>
                                  <w:r>
                                    <w:rPr>
                                      <w:color w:val="231F20"/>
                                      <w:sz w:val="18"/>
                                    </w:rPr>
                                    <w:t>117,866</w:t>
                                  </w:r>
                                </w:p>
                              </w:tc>
                            </w:tr>
                            <w:tr w:rsidR="00E1198C" w14:paraId="34FB615B" w14:textId="77777777">
                              <w:trPr>
                                <w:trHeight w:val="348"/>
                              </w:trPr>
                              <w:tc>
                                <w:tcPr>
                                  <w:tcW w:w="2307" w:type="dxa"/>
                                </w:tcPr>
                                <w:p w14:paraId="7406E67F" w14:textId="77777777" w:rsidR="00E1198C" w:rsidRDefault="00000000">
                                  <w:pPr>
                                    <w:pStyle w:val="TableParagraph"/>
                                    <w:spacing w:before="59"/>
                                    <w:ind w:left="50"/>
                                    <w:rPr>
                                      <w:sz w:val="18"/>
                                    </w:rPr>
                                  </w:pPr>
                                  <w:r>
                                    <w:rPr>
                                      <w:color w:val="231F20"/>
                                      <w:sz w:val="18"/>
                                    </w:rPr>
                                    <w:t>Bogusław Galewski</w:t>
                                  </w:r>
                                </w:p>
                              </w:tc>
                              <w:tc>
                                <w:tcPr>
                                  <w:tcW w:w="3840" w:type="dxa"/>
                                </w:tcPr>
                                <w:p w14:paraId="47C57A51" w14:textId="77777777" w:rsidR="00E1198C" w:rsidRDefault="00E1198C">
                                  <w:pPr>
                                    <w:pStyle w:val="TableParagraph"/>
                                    <w:rPr>
                                      <w:rFonts w:ascii="Times New Roman"/>
                                      <w:sz w:val="18"/>
                                    </w:rPr>
                                  </w:pPr>
                                </w:p>
                              </w:tc>
                              <w:tc>
                                <w:tcPr>
                                  <w:tcW w:w="2721" w:type="dxa"/>
                                </w:tcPr>
                                <w:p w14:paraId="7DF249B7" w14:textId="77777777" w:rsidR="00E1198C" w:rsidRDefault="00000000" w:rsidP="00720E33">
                                  <w:pPr>
                                    <w:pStyle w:val="TableParagraph"/>
                                    <w:spacing w:before="60"/>
                                    <w:ind w:right="292"/>
                                    <w:jc w:val="right"/>
                                    <w:rPr>
                                      <w:sz w:val="18"/>
                                    </w:rPr>
                                  </w:pPr>
                                  <w:r>
                                    <w:rPr>
                                      <w:color w:val="231F20"/>
                                      <w:sz w:val="18"/>
                                    </w:rPr>
                                    <w:t>126,380</w:t>
                                  </w:r>
                                </w:p>
                              </w:tc>
                              <w:tc>
                                <w:tcPr>
                                  <w:tcW w:w="1047" w:type="dxa"/>
                                </w:tcPr>
                                <w:p w14:paraId="5302FEF2" w14:textId="77777777" w:rsidR="00E1198C" w:rsidRDefault="00000000">
                                  <w:pPr>
                                    <w:pStyle w:val="TableParagraph"/>
                                    <w:spacing w:before="60"/>
                                    <w:ind w:right="81"/>
                                    <w:jc w:val="right"/>
                                    <w:rPr>
                                      <w:sz w:val="18"/>
                                    </w:rPr>
                                  </w:pPr>
                                  <w:r>
                                    <w:rPr>
                                      <w:color w:val="231F20"/>
                                      <w:sz w:val="18"/>
                                    </w:rPr>
                                    <w:t>92,900</w:t>
                                  </w:r>
                                </w:p>
                              </w:tc>
                            </w:tr>
                            <w:tr w:rsidR="00E1198C" w14:paraId="48BEADAD" w14:textId="77777777">
                              <w:trPr>
                                <w:trHeight w:val="351"/>
                              </w:trPr>
                              <w:tc>
                                <w:tcPr>
                                  <w:tcW w:w="2307" w:type="dxa"/>
                                </w:tcPr>
                                <w:p w14:paraId="2AD2B8ED" w14:textId="77777777" w:rsidR="00E1198C" w:rsidRDefault="00000000">
                                  <w:pPr>
                                    <w:pStyle w:val="TableParagraph"/>
                                    <w:spacing w:before="59"/>
                                    <w:ind w:left="50"/>
                                    <w:rPr>
                                      <w:sz w:val="18"/>
                                    </w:rPr>
                                  </w:pPr>
                                  <w:r>
                                    <w:rPr>
                                      <w:color w:val="231F20"/>
                                      <w:sz w:val="18"/>
                                    </w:rPr>
                                    <w:t>Krzysztof Kaczmarczyk</w:t>
                                  </w:r>
                                </w:p>
                              </w:tc>
                              <w:tc>
                                <w:tcPr>
                                  <w:tcW w:w="3840" w:type="dxa"/>
                                </w:tcPr>
                                <w:p w14:paraId="710D1FE8" w14:textId="77777777" w:rsidR="00E1198C" w:rsidRDefault="00E1198C">
                                  <w:pPr>
                                    <w:pStyle w:val="TableParagraph"/>
                                    <w:rPr>
                                      <w:rFonts w:ascii="Times New Roman"/>
                                      <w:sz w:val="18"/>
                                    </w:rPr>
                                  </w:pPr>
                                </w:p>
                              </w:tc>
                              <w:tc>
                                <w:tcPr>
                                  <w:tcW w:w="2721" w:type="dxa"/>
                                </w:tcPr>
                                <w:p w14:paraId="1F8DEFE2" w14:textId="77777777" w:rsidR="00E1198C" w:rsidRDefault="00000000" w:rsidP="00720E33">
                                  <w:pPr>
                                    <w:pStyle w:val="TableParagraph"/>
                                    <w:spacing w:before="60"/>
                                    <w:ind w:right="292"/>
                                    <w:jc w:val="right"/>
                                    <w:rPr>
                                      <w:sz w:val="18"/>
                                    </w:rPr>
                                  </w:pPr>
                                  <w:r>
                                    <w:rPr>
                                      <w:color w:val="231F20"/>
                                      <w:sz w:val="18"/>
                                    </w:rPr>
                                    <w:t>126,380</w:t>
                                  </w:r>
                                </w:p>
                              </w:tc>
                              <w:tc>
                                <w:tcPr>
                                  <w:tcW w:w="1047" w:type="dxa"/>
                                </w:tcPr>
                                <w:p w14:paraId="23387A75" w14:textId="77777777" w:rsidR="00E1198C" w:rsidRDefault="00000000">
                                  <w:pPr>
                                    <w:pStyle w:val="TableParagraph"/>
                                    <w:spacing w:before="60"/>
                                    <w:ind w:right="81"/>
                                    <w:jc w:val="right"/>
                                    <w:rPr>
                                      <w:sz w:val="18"/>
                                    </w:rPr>
                                  </w:pPr>
                                  <w:r>
                                    <w:rPr>
                                      <w:color w:val="231F20"/>
                                      <w:sz w:val="18"/>
                                    </w:rPr>
                                    <w:t>95,972</w:t>
                                  </w:r>
                                </w:p>
                              </w:tc>
                            </w:tr>
                            <w:tr w:rsidR="00E1198C" w14:paraId="029C47CE" w14:textId="77777777">
                              <w:trPr>
                                <w:trHeight w:val="355"/>
                              </w:trPr>
                              <w:tc>
                                <w:tcPr>
                                  <w:tcW w:w="2307" w:type="dxa"/>
                                </w:tcPr>
                                <w:p w14:paraId="56199126" w14:textId="77777777" w:rsidR="00E1198C" w:rsidRDefault="00000000">
                                  <w:pPr>
                                    <w:pStyle w:val="TableParagraph"/>
                                    <w:spacing w:before="68"/>
                                    <w:ind w:left="50"/>
                                    <w:rPr>
                                      <w:sz w:val="18"/>
                                    </w:rPr>
                                  </w:pPr>
                                  <w:r>
                                    <w:rPr>
                                      <w:color w:val="231F20"/>
                                      <w:sz w:val="18"/>
                                    </w:rPr>
                                    <w:t>Urszula Wieczorek</w:t>
                                  </w:r>
                                </w:p>
                              </w:tc>
                              <w:tc>
                                <w:tcPr>
                                  <w:tcW w:w="3840" w:type="dxa"/>
                                </w:tcPr>
                                <w:p w14:paraId="2DE24DB3" w14:textId="77777777" w:rsidR="00E1198C" w:rsidRDefault="00E1198C">
                                  <w:pPr>
                                    <w:pStyle w:val="TableParagraph"/>
                                    <w:rPr>
                                      <w:rFonts w:ascii="Times New Roman"/>
                                      <w:sz w:val="18"/>
                                    </w:rPr>
                                  </w:pPr>
                                </w:p>
                              </w:tc>
                              <w:tc>
                                <w:tcPr>
                                  <w:tcW w:w="2721" w:type="dxa"/>
                                </w:tcPr>
                                <w:p w14:paraId="5DCB9F45" w14:textId="77777777" w:rsidR="00E1198C" w:rsidRDefault="00000000" w:rsidP="00720E33">
                                  <w:pPr>
                                    <w:pStyle w:val="TableParagraph"/>
                                    <w:spacing w:before="58"/>
                                    <w:ind w:right="292"/>
                                    <w:jc w:val="right"/>
                                    <w:rPr>
                                      <w:sz w:val="18"/>
                                    </w:rPr>
                                  </w:pPr>
                                  <w:r>
                                    <w:rPr>
                                      <w:sz w:val="18"/>
                                    </w:rPr>
                                    <w:t>63,190</w:t>
                                  </w:r>
                                </w:p>
                              </w:tc>
                              <w:tc>
                                <w:tcPr>
                                  <w:tcW w:w="1047" w:type="dxa"/>
                                </w:tcPr>
                                <w:p w14:paraId="67AA12B3" w14:textId="77777777" w:rsidR="00E1198C" w:rsidRDefault="00000000">
                                  <w:pPr>
                                    <w:pStyle w:val="TableParagraph"/>
                                    <w:spacing w:before="58"/>
                                    <w:ind w:right="81"/>
                                    <w:jc w:val="right"/>
                                    <w:rPr>
                                      <w:sz w:val="18"/>
                                    </w:rPr>
                                  </w:pPr>
                                  <w:r>
                                    <w:rPr>
                                      <w:color w:val="231F20"/>
                                      <w:sz w:val="18"/>
                                    </w:rPr>
                                    <w:t>46,450</w:t>
                                  </w:r>
                                </w:p>
                              </w:tc>
                            </w:tr>
                            <w:tr w:rsidR="00E1198C" w14:paraId="51E1D5D1" w14:textId="77777777">
                              <w:trPr>
                                <w:trHeight w:val="268"/>
                              </w:trPr>
                              <w:tc>
                                <w:tcPr>
                                  <w:tcW w:w="2307" w:type="dxa"/>
                                </w:tcPr>
                                <w:p w14:paraId="407B5718" w14:textId="77777777" w:rsidR="00E1198C" w:rsidRDefault="00000000">
                                  <w:pPr>
                                    <w:pStyle w:val="TableParagraph"/>
                                    <w:spacing w:before="61" w:line="188" w:lineRule="exact"/>
                                    <w:ind w:left="50"/>
                                    <w:rPr>
                                      <w:sz w:val="18"/>
                                    </w:rPr>
                                  </w:pPr>
                                  <w:r>
                                    <w:rPr>
                                      <w:color w:val="231F20"/>
                                      <w:sz w:val="18"/>
                                    </w:rPr>
                                    <w:t>Artur Wieczorek</w:t>
                                  </w:r>
                                </w:p>
                              </w:tc>
                              <w:tc>
                                <w:tcPr>
                                  <w:tcW w:w="3840" w:type="dxa"/>
                                </w:tcPr>
                                <w:p w14:paraId="56C90278" w14:textId="77777777" w:rsidR="00E1198C" w:rsidRDefault="00E1198C">
                                  <w:pPr>
                                    <w:pStyle w:val="TableParagraph"/>
                                    <w:rPr>
                                      <w:rFonts w:ascii="Times New Roman"/>
                                      <w:sz w:val="18"/>
                                    </w:rPr>
                                  </w:pPr>
                                </w:p>
                              </w:tc>
                              <w:tc>
                                <w:tcPr>
                                  <w:tcW w:w="2721" w:type="dxa"/>
                                </w:tcPr>
                                <w:p w14:paraId="7870A2C3" w14:textId="77777777" w:rsidR="00E1198C" w:rsidRDefault="00000000" w:rsidP="00720E33">
                                  <w:pPr>
                                    <w:pStyle w:val="TableParagraph"/>
                                    <w:spacing w:before="62" w:line="186" w:lineRule="exact"/>
                                    <w:ind w:right="292"/>
                                    <w:jc w:val="right"/>
                                    <w:rPr>
                                      <w:sz w:val="18"/>
                                    </w:rPr>
                                  </w:pPr>
                                  <w:r>
                                    <w:rPr>
                                      <w:sz w:val="18"/>
                                    </w:rPr>
                                    <w:t>63,190</w:t>
                                  </w:r>
                                </w:p>
                              </w:tc>
                              <w:tc>
                                <w:tcPr>
                                  <w:tcW w:w="1047" w:type="dxa"/>
                                </w:tcPr>
                                <w:p w14:paraId="142105A2" w14:textId="77777777" w:rsidR="00E1198C" w:rsidRDefault="00000000">
                                  <w:pPr>
                                    <w:pStyle w:val="TableParagraph"/>
                                    <w:spacing w:before="62" w:line="186" w:lineRule="exact"/>
                                    <w:ind w:right="81"/>
                                    <w:jc w:val="right"/>
                                    <w:rPr>
                                      <w:sz w:val="18"/>
                                    </w:rPr>
                                  </w:pPr>
                                  <w:r>
                                    <w:rPr>
                                      <w:color w:val="231F20"/>
                                      <w:sz w:val="18"/>
                                    </w:rPr>
                                    <w:t>46,450</w:t>
                                  </w:r>
                                </w:p>
                              </w:tc>
                            </w:tr>
                          </w:tbl>
                          <w:p w14:paraId="5FD49515" w14:textId="77777777" w:rsidR="00E1198C" w:rsidRDefault="00E1198C">
                            <w:pPr>
                              <w:pStyle w:val="Tekstpodstawowy"/>
                            </w:pPr>
                          </w:p>
                        </w:txbxContent>
                      </wps:txbx>
                      <wps:bodyPr wrap="square" lIns="0" tIns="0" rIns="0" bIns="0" rtlCol="0">
                        <a:noAutofit/>
                      </wps:bodyPr>
                    </wps:wsp>
                  </a:graphicData>
                </a:graphic>
              </wp:anchor>
            </w:drawing>
          </mc:Choice>
          <mc:Fallback>
            <w:pict>
              <v:shape w14:anchorId="72100640" id="Textbox 80" o:spid="_x0000_s1064" type="#_x0000_t202" style="position:absolute;left:0;text-align:left;margin-left:35pt;margin-top:7.7pt;width:501.85pt;height:97.95pt;z-index:2516505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" filled="f" stroked="f">
                <v:textbox inset="0,0,0,0">
                  <w:txbxContent>
                    <w:tbl>
                      <w:tblPr>
                        <w:tblStyle w:val="TableNormal"/>
                        <w:tblW w:w="0" w:type="auto"/>
                        <w:tblInd w:w="67" w:type="dxa"/>
                        <w:tblLayout w:type="fixed"/>
                        <w:tblLook w:val="01E0" w:firstRow="1" w:lastRow="1" w:firstColumn="1" w:lastColumn="1" w:noHBand="0" w:noVBand="0"/>
                      </w:tblPr>
                      <w:tblGrid>
                        <w:gridCol w:w="2307"/>
                        <w:gridCol w:w="3840"/>
                        <w:gridCol w:w="2721"/>
                        <w:gridCol w:w="1047"/>
                      </w:tblGrid>
                      <w:tr w:rsidR="00E1198C" w14:paraId="3709A1CE" w14:textId="77777777">
                        <w:trPr>
                          <w:trHeight w:val="275"/>
                        </w:trPr>
                        <w:tc>
                          <w:tcPr>
                            <w:tcW w:w="2307" w:type="dxa"/>
                          </w:tcPr>
                          <w:p w14:paraId="089FF243" w14:textId="77777777" w:rsidR="00E1198C" w:rsidRDefault="00E1198C">
                            <w:pPr>
                              <w:pStyle w:val="TableParagraph"/>
                              <w:rPr>
                                <w:rFonts w:ascii="Times New Roman"/>
                                <w:sz w:val="18"/>
                              </w:rPr>
                            </w:pPr>
                          </w:p>
                        </w:tc>
                        <w:tc>
                          <w:tcPr>
                            <w:tcW w:w="3840" w:type="dxa"/>
                          </w:tcPr>
                          <w:p w14:paraId="7B1D9F1F" w14:textId="77777777" w:rsidR="00E1198C" w:rsidRDefault="00000000" w:rsidP="00720E33">
                            <w:pPr>
                              <w:pStyle w:val="TableParagraph"/>
                              <w:spacing w:line="197" w:lineRule="exact"/>
                              <w:rPr>
                                <w:sz w:val="18"/>
                              </w:rPr>
                            </w:pPr>
                            <w:r>
                              <w:rPr>
                                <w:color w:val="FFFFFF"/>
                                <w:sz w:val="18"/>
                              </w:rPr>
                              <w:t>for the performance of functions</w:t>
                            </w:r>
                          </w:p>
                        </w:tc>
                        <w:tc>
                          <w:tcPr>
                            <w:tcW w:w="3768" w:type="dxa"/>
                            <w:gridSpan w:val="2"/>
                          </w:tcPr>
                          <w:p w14:paraId="3A6E5D9A" w14:textId="77777777" w:rsidR="00E1198C" w:rsidRDefault="00E1198C">
                            <w:pPr>
                              <w:pStyle w:val="TableParagraph"/>
                              <w:rPr>
                                <w:rFonts w:ascii="Times New Roman"/>
                                <w:sz w:val="18"/>
                              </w:rPr>
                            </w:pPr>
                          </w:p>
                        </w:tc>
                      </w:tr>
                      <w:tr w:rsidR="00E1198C" w14:paraId="095A9B5D" w14:textId="77777777">
                        <w:trPr>
                          <w:trHeight w:val="362"/>
                        </w:trPr>
                        <w:tc>
                          <w:tcPr>
                            <w:tcW w:w="2307" w:type="dxa"/>
                          </w:tcPr>
                          <w:p w14:paraId="079132E8" w14:textId="77777777" w:rsidR="00E1198C" w:rsidRDefault="00000000">
                            <w:pPr>
                              <w:pStyle w:val="TableParagraph"/>
                              <w:spacing w:before="72"/>
                              <w:ind w:left="50"/>
                              <w:rPr>
                                <w:sz w:val="18"/>
                              </w:rPr>
                            </w:pPr>
                            <w:r>
                              <w:rPr>
                                <w:color w:val="231F20"/>
                                <w:sz w:val="18"/>
                              </w:rPr>
                              <w:t>Robert Rzemiński</w:t>
                            </w:r>
                          </w:p>
                        </w:tc>
                        <w:tc>
                          <w:tcPr>
                            <w:tcW w:w="3840" w:type="dxa"/>
                          </w:tcPr>
                          <w:p w14:paraId="685AA44D" w14:textId="77777777" w:rsidR="00E1198C" w:rsidRDefault="00E1198C">
                            <w:pPr>
                              <w:pStyle w:val="TableParagraph"/>
                              <w:rPr>
                                <w:rFonts w:ascii="Times New Roman"/>
                                <w:sz w:val="18"/>
                              </w:rPr>
                            </w:pPr>
                          </w:p>
                        </w:tc>
                        <w:tc>
                          <w:tcPr>
                            <w:tcW w:w="2721" w:type="dxa"/>
                          </w:tcPr>
                          <w:p w14:paraId="785E1CC0" w14:textId="77777777" w:rsidR="00E1198C" w:rsidRDefault="00000000" w:rsidP="00720E33">
                            <w:pPr>
                              <w:pStyle w:val="TableParagraph"/>
                              <w:spacing w:before="73"/>
                              <w:ind w:right="292"/>
                              <w:jc w:val="right"/>
                              <w:rPr>
                                <w:sz w:val="18"/>
                              </w:rPr>
                            </w:pPr>
                            <w:r>
                              <w:rPr>
                                <w:sz w:val="18"/>
                              </w:rPr>
                              <w:t>160,344</w:t>
                            </w:r>
                          </w:p>
                        </w:tc>
                        <w:tc>
                          <w:tcPr>
                            <w:tcW w:w="1047" w:type="dxa"/>
                          </w:tcPr>
                          <w:p w14:paraId="4D81D87A" w14:textId="77777777" w:rsidR="00E1198C" w:rsidRDefault="00000000">
                            <w:pPr>
                              <w:pStyle w:val="TableParagraph"/>
                              <w:spacing w:before="73"/>
                              <w:ind w:right="46"/>
                              <w:jc w:val="right"/>
                              <w:rPr>
                                <w:sz w:val="18"/>
                              </w:rPr>
                            </w:pPr>
                            <w:r>
                              <w:rPr>
                                <w:color w:val="231F20"/>
                                <w:sz w:val="18"/>
                              </w:rPr>
                              <w:t>117,866</w:t>
                            </w:r>
                          </w:p>
                        </w:tc>
                      </w:tr>
                      <w:tr w:rsidR="00E1198C" w14:paraId="34FB615B" w14:textId="77777777">
                        <w:trPr>
                          <w:trHeight w:val="348"/>
                        </w:trPr>
                        <w:tc>
                          <w:tcPr>
                            <w:tcW w:w="2307" w:type="dxa"/>
                          </w:tcPr>
                          <w:p w14:paraId="7406E67F" w14:textId="77777777" w:rsidR="00E1198C" w:rsidRDefault="00000000">
                            <w:pPr>
                              <w:pStyle w:val="TableParagraph"/>
                              <w:spacing w:before="59"/>
                              <w:ind w:left="50"/>
                              <w:rPr>
                                <w:sz w:val="18"/>
                              </w:rPr>
                            </w:pPr>
                            <w:r>
                              <w:rPr>
                                <w:color w:val="231F20"/>
                                <w:sz w:val="18"/>
                              </w:rPr>
                              <w:t>Bogusław Galewski</w:t>
                            </w:r>
                          </w:p>
                        </w:tc>
                        <w:tc>
                          <w:tcPr>
                            <w:tcW w:w="3840" w:type="dxa"/>
                          </w:tcPr>
                          <w:p w14:paraId="47C57A51" w14:textId="77777777" w:rsidR="00E1198C" w:rsidRDefault="00E1198C">
                            <w:pPr>
                              <w:pStyle w:val="TableParagraph"/>
                              <w:rPr>
                                <w:rFonts w:ascii="Times New Roman"/>
                                <w:sz w:val="18"/>
                              </w:rPr>
                            </w:pPr>
                          </w:p>
                        </w:tc>
                        <w:tc>
                          <w:tcPr>
                            <w:tcW w:w="2721" w:type="dxa"/>
                          </w:tcPr>
                          <w:p w14:paraId="7DF249B7" w14:textId="77777777" w:rsidR="00E1198C" w:rsidRDefault="00000000" w:rsidP="00720E33">
                            <w:pPr>
                              <w:pStyle w:val="TableParagraph"/>
                              <w:spacing w:before="60"/>
                              <w:ind w:right="292"/>
                              <w:jc w:val="right"/>
                              <w:rPr>
                                <w:sz w:val="18"/>
                              </w:rPr>
                            </w:pPr>
                            <w:r>
                              <w:rPr>
                                <w:color w:val="231F20"/>
                                <w:sz w:val="18"/>
                              </w:rPr>
                              <w:t>126,380</w:t>
                            </w:r>
                          </w:p>
                        </w:tc>
                        <w:tc>
                          <w:tcPr>
                            <w:tcW w:w="1047" w:type="dxa"/>
                          </w:tcPr>
                          <w:p w14:paraId="5302FEF2" w14:textId="77777777" w:rsidR="00E1198C" w:rsidRDefault="00000000">
                            <w:pPr>
                              <w:pStyle w:val="TableParagraph"/>
                              <w:spacing w:before="60"/>
                              <w:ind w:right="81"/>
                              <w:jc w:val="right"/>
                              <w:rPr>
                                <w:sz w:val="18"/>
                              </w:rPr>
                            </w:pPr>
                            <w:r>
                              <w:rPr>
                                <w:color w:val="231F20"/>
                                <w:sz w:val="18"/>
                              </w:rPr>
                              <w:t>92,900</w:t>
                            </w:r>
                          </w:p>
                        </w:tc>
                      </w:tr>
                      <w:tr w:rsidR="00E1198C" w14:paraId="48BEADAD" w14:textId="77777777">
                        <w:trPr>
                          <w:trHeight w:val="351"/>
                        </w:trPr>
                        <w:tc>
                          <w:tcPr>
                            <w:tcW w:w="2307" w:type="dxa"/>
                          </w:tcPr>
                          <w:p w14:paraId="2AD2B8ED" w14:textId="77777777" w:rsidR="00E1198C" w:rsidRDefault="00000000">
                            <w:pPr>
                              <w:pStyle w:val="TableParagraph"/>
                              <w:spacing w:before="59"/>
                              <w:ind w:left="50"/>
                              <w:rPr>
                                <w:sz w:val="18"/>
                              </w:rPr>
                            </w:pPr>
                            <w:r>
                              <w:rPr>
                                <w:color w:val="231F20"/>
                                <w:sz w:val="18"/>
                              </w:rPr>
                              <w:t>Krzysztof Kaczmarczyk</w:t>
                            </w:r>
                          </w:p>
                        </w:tc>
                        <w:tc>
                          <w:tcPr>
                            <w:tcW w:w="3840" w:type="dxa"/>
                          </w:tcPr>
                          <w:p w14:paraId="710D1FE8" w14:textId="77777777" w:rsidR="00E1198C" w:rsidRDefault="00E1198C">
                            <w:pPr>
                              <w:pStyle w:val="TableParagraph"/>
                              <w:rPr>
                                <w:rFonts w:ascii="Times New Roman"/>
                                <w:sz w:val="18"/>
                              </w:rPr>
                            </w:pPr>
                          </w:p>
                        </w:tc>
                        <w:tc>
                          <w:tcPr>
                            <w:tcW w:w="2721" w:type="dxa"/>
                          </w:tcPr>
                          <w:p w14:paraId="1F8DEFE2" w14:textId="77777777" w:rsidR="00E1198C" w:rsidRDefault="00000000" w:rsidP="00720E33">
                            <w:pPr>
                              <w:pStyle w:val="TableParagraph"/>
                              <w:spacing w:before="60"/>
                              <w:ind w:right="292"/>
                              <w:jc w:val="right"/>
                              <w:rPr>
                                <w:sz w:val="18"/>
                              </w:rPr>
                            </w:pPr>
                            <w:r>
                              <w:rPr>
                                <w:color w:val="231F20"/>
                                <w:sz w:val="18"/>
                              </w:rPr>
                              <w:t>126,380</w:t>
                            </w:r>
                          </w:p>
                        </w:tc>
                        <w:tc>
                          <w:tcPr>
                            <w:tcW w:w="1047" w:type="dxa"/>
                          </w:tcPr>
                          <w:p w14:paraId="23387A75" w14:textId="77777777" w:rsidR="00E1198C" w:rsidRDefault="00000000">
                            <w:pPr>
                              <w:pStyle w:val="TableParagraph"/>
                              <w:spacing w:before="60"/>
                              <w:ind w:right="81"/>
                              <w:jc w:val="right"/>
                              <w:rPr>
                                <w:sz w:val="18"/>
                              </w:rPr>
                            </w:pPr>
                            <w:r>
                              <w:rPr>
                                <w:color w:val="231F20"/>
                                <w:sz w:val="18"/>
                              </w:rPr>
                              <w:t>95,972</w:t>
                            </w:r>
                          </w:p>
                        </w:tc>
                      </w:tr>
                      <w:tr w:rsidR="00E1198C" w14:paraId="029C47CE" w14:textId="77777777">
                        <w:trPr>
                          <w:trHeight w:val="355"/>
                        </w:trPr>
                        <w:tc>
                          <w:tcPr>
                            <w:tcW w:w="2307" w:type="dxa"/>
                          </w:tcPr>
                          <w:p w14:paraId="56199126" w14:textId="77777777" w:rsidR="00E1198C" w:rsidRDefault="00000000">
                            <w:pPr>
                              <w:pStyle w:val="TableParagraph"/>
                              <w:spacing w:before="68"/>
                              <w:ind w:left="50"/>
                              <w:rPr>
                                <w:sz w:val="18"/>
                              </w:rPr>
                            </w:pPr>
                            <w:r>
                              <w:rPr>
                                <w:color w:val="231F20"/>
                                <w:sz w:val="18"/>
                              </w:rPr>
                              <w:t>Urszula Wieczorek</w:t>
                            </w:r>
                          </w:p>
                        </w:tc>
                        <w:tc>
                          <w:tcPr>
                            <w:tcW w:w="3840" w:type="dxa"/>
                          </w:tcPr>
                          <w:p w14:paraId="2DE24DB3" w14:textId="77777777" w:rsidR="00E1198C" w:rsidRDefault="00E1198C">
                            <w:pPr>
                              <w:pStyle w:val="TableParagraph"/>
                              <w:rPr>
                                <w:rFonts w:ascii="Times New Roman"/>
                                <w:sz w:val="18"/>
                              </w:rPr>
                            </w:pPr>
                          </w:p>
                        </w:tc>
                        <w:tc>
                          <w:tcPr>
                            <w:tcW w:w="2721" w:type="dxa"/>
                          </w:tcPr>
                          <w:p w14:paraId="5DCB9F45" w14:textId="77777777" w:rsidR="00E1198C" w:rsidRDefault="00000000" w:rsidP="00720E33">
                            <w:pPr>
                              <w:pStyle w:val="TableParagraph"/>
                              <w:spacing w:before="58"/>
                              <w:ind w:right="292"/>
                              <w:jc w:val="right"/>
                              <w:rPr>
                                <w:sz w:val="18"/>
                              </w:rPr>
                            </w:pPr>
                            <w:r>
                              <w:rPr>
                                <w:sz w:val="18"/>
                              </w:rPr>
                              <w:t>63,190</w:t>
                            </w:r>
                          </w:p>
                        </w:tc>
                        <w:tc>
                          <w:tcPr>
                            <w:tcW w:w="1047" w:type="dxa"/>
                          </w:tcPr>
                          <w:p w14:paraId="67AA12B3" w14:textId="77777777" w:rsidR="00E1198C" w:rsidRDefault="00000000">
                            <w:pPr>
                              <w:pStyle w:val="TableParagraph"/>
                              <w:spacing w:before="58"/>
                              <w:ind w:right="81"/>
                              <w:jc w:val="right"/>
                              <w:rPr>
                                <w:sz w:val="18"/>
                              </w:rPr>
                            </w:pPr>
                            <w:r>
                              <w:rPr>
                                <w:color w:val="231F20"/>
                                <w:sz w:val="18"/>
                              </w:rPr>
                              <w:t>46,450</w:t>
                            </w:r>
                          </w:p>
                        </w:tc>
                      </w:tr>
                      <w:tr w:rsidR="00E1198C" w14:paraId="51E1D5D1" w14:textId="77777777">
                        <w:trPr>
                          <w:trHeight w:val="268"/>
                        </w:trPr>
                        <w:tc>
                          <w:tcPr>
                            <w:tcW w:w="2307" w:type="dxa"/>
                          </w:tcPr>
                          <w:p w14:paraId="407B5718" w14:textId="77777777" w:rsidR="00E1198C" w:rsidRDefault="00000000">
                            <w:pPr>
                              <w:pStyle w:val="TableParagraph"/>
                              <w:spacing w:before="61" w:line="188" w:lineRule="exact"/>
                              <w:ind w:left="50"/>
                              <w:rPr>
                                <w:sz w:val="18"/>
                              </w:rPr>
                            </w:pPr>
                            <w:r>
                              <w:rPr>
                                <w:color w:val="231F20"/>
                                <w:sz w:val="18"/>
                              </w:rPr>
                              <w:t>Artur Wieczorek</w:t>
                            </w:r>
                          </w:p>
                        </w:tc>
                        <w:tc>
                          <w:tcPr>
                            <w:tcW w:w="3840" w:type="dxa"/>
                          </w:tcPr>
                          <w:p w14:paraId="56C90278" w14:textId="77777777" w:rsidR="00E1198C" w:rsidRDefault="00E1198C">
                            <w:pPr>
                              <w:pStyle w:val="TableParagraph"/>
                              <w:rPr>
                                <w:rFonts w:ascii="Times New Roman"/>
                                <w:sz w:val="18"/>
                              </w:rPr>
                            </w:pPr>
                          </w:p>
                        </w:tc>
                        <w:tc>
                          <w:tcPr>
                            <w:tcW w:w="2721" w:type="dxa"/>
                          </w:tcPr>
                          <w:p w14:paraId="7870A2C3" w14:textId="77777777" w:rsidR="00E1198C" w:rsidRDefault="00000000" w:rsidP="00720E33">
                            <w:pPr>
                              <w:pStyle w:val="TableParagraph"/>
                              <w:spacing w:before="62" w:line="186" w:lineRule="exact"/>
                              <w:ind w:right="292"/>
                              <w:jc w:val="right"/>
                              <w:rPr>
                                <w:sz w:val="18"/>
                              </w:rPr>
                            </w:pPr>
                            <w:r>
                              <w:rPr>
                                <w:sz w:val="18"/>
                              </w:rPr>
                              <w:t>63,190</w:t>
                            </w:r>
                          </w:p>
                        </w:tc>
                        <w:tc>
                          <w:tcPr>
                            <w:tcW w:w="1047" w:type="dxa"/>
                          </w:tcPr>
                          <w:p w14:paraId="142105A2" w14:textId="77777777" w:rsidR="00E1198C" w:rsidRDefault="00000000">
                            <w:pPr>
                              <w:pStyle w:val="TableParagraph"/>
                              <w:spacing w:before="62" w:line="186" w:lineRule="exact"/>
                              <w:ind w:right="81"/>
                              <w:jc w:val="right"/>
                              <w:rPr>
                                <w:sz w:val="18"/>
                              </w:rPr>
                            </w:pPr>
                            <w:r>
                              <w:rPr>
                                <w:color w:val="231F20"/>
                                <w:sz w:val="18"/>
                              </w:rPr>
                              <w:t>46,450</w:t>
                            </w:r>
                          </w:p>
                        </w:tc>
                      </w:tr>
                    </w:tbl>
                    <w:p w14:paraId="5FD49515" w14:textId="77777777" w:rsidR="00E1198C" w:rsidRDefault="00E1198C">
                      <w:pPr>
                        <w:pStyle w:val="Tekstpodstawowy"/>
                      </w:pPr>
                    </w:p>
                  </w:txbxContent>
                </v:textbox>
                <w10:wrap anchorx="page"/>
              </v:shape>
            </w:pict>
          </mc:Fallback>
        </mc:AlternateContent>
      </w:r>
      <w:r>
        <w:rPr>
          <w:b/>
          <w:color w:val="FFFFFF"/>
          <w:sz w:val="18"/>
        </w:rPr>
        <w:t>2024</w:t>
      </w:r>
      <w:r>
        <w:rPr>
          <w:b/>
          <w:color w:val="FFFFFF"/>
          <w:sz w:val="18"/>
        </w:rPr>
        <w:tab/>
        <w:t>2023</w:t>
      </w:r>
    </w:p>
    <w:p w14:paraId="230C5549" w14:textId="77777777" w:rsidR="00E1198C" w:rsidRDefault="00E1198C">
      <w:pPr>
        <w:rPr>
          <w:sz w:val="18"/>
        </w:rPr>
        <w:sectPr w:rsidR="00E1198C">
          <w:type w:val="continuous"/>
          <w:pgSz w:w="11900" w:h="16840"/>
          <w:pgMar w:top="1380" w:right="320" w:bottom="0" w:left="300" w:header="0" w:footer="726" w:gutter="0"/>
          <w:cols w:num="2" w:space="708" w:equalWidth="0">
            <w:col w:w="6188" w:space="40"/>
            <w:col w:w="5052"/>
          </w:cols>
        </w:sectPr>
      </w:pPr>
    </w:p>
    <w:p w14:paraId="2B308A05" w14:textId="77777777" w:rsidR="00E1198C" w:rsidRDefault="00E1198C">
      <w:pPr>
        <w:pStyle w:val="Tekstpodstawowy"/>
        <w:rPr>
          <w:b/>
        </w:rPr>
      </w:pPr>
    </w:p>
    <w:p w14:paraId="002BAAA7" w14:textId="77777777" w:rsidR="00E1198C" w:rsidRDefault="00E1198C">
      <w:pPr>
        <w:pStyle w:val="Tekstpodstawowy"/>
        <w:rPr>
          <w:b/>
        </w:rPr>
      </w:pPr>
    </w:p>
    <w:p w14:paraId="263E6B10" w14:textId="77777777" w:rsidR="00E1198C" w:rsidRDefault="00E1198C">
      <w:pPr>
        <w:pStyle w:val="Tekstpodstawowy"/>
        <w:rPr>
          <w:b/>
        </w:rPr>
      </w:pPr>
    </w:p>
    <w:p w14:paraId="439E069A" w14:textId="77777777" w:rsidR="00E1198C" w:rsidRDefault="00E1198C">
      <w:pPr>
        <w:pStyle w:val="Tekstpodstawowy"/>
        <w:rPr>
          <w:b/>
        </w:rPr>
      </w:pPr>
    </w:p>
    <w:p w14:paraId="2070163E" w14:textId="77777777" w:rsidR="00E1198C" w:rsidRDefault="00E1198C">
      <w:pPr>
        <w:pStyle w:val="Tekstpodstawowy"/>
        <w:rPr>
          <w:b/>
        </w:rPr>
      </w:pPr>
    </w:p>
    <w:p w14:paraId="07120944" w14:textId="77777777" w:rsidR="00E1198C" w:rsidRDefault="00E1198C">
      <w:pPr>
        <w:pStyle w:val="Tekstpodstawowy"/>
        <w:rPr>
          <w:b/>
        </w:rPr>
      </w:pPr>
    </w:p>
    <w:p w14:paraId="59FA26C8" w14:textId="77777777" w:rsidR="00E1198C" w:rsidRDefault="00E1198C">
      <w:pPr>
        <w:pStyle w:val="Tekstpodstawowy"/>
        <w:rPr>
          <w:b/>
        </w:rPr>
      </w:pPr>
    </w:p>
    <w:p w14:paraId="6CAE9F85" w14:textId="77777777" w:rsidR="00E1198C" w:rsidRDefault="00E1198C">
      <w:pPr>
        <w:pStyle w:val="Tekstpodstawowy"/>
        <w:rPr>
          <w:b/>
        </w:rPr>
      </w:pPr>
    </w:p>
    <w:p w14:paraId="022A9B7E" w14:textId="77777777" w:rsidR="00E1198C" w:rsidRDefault="00E1198C">
      <w:pPr>
        <w:pStyle w:val="Tekstpodstawowy"/>
        <w:rPr>
          <w:b/>
        </w:rPr>
      </w:pPr>
    </w:p>
    <w:p w14:paraId="379BF316" w14:textId="77777777" w:rsidR="00E1198C" w:rsidRDefault="00E1198C">
      <w:pPr>
        <w:pStyle w:val="Tekstpodstawowy"/>
        <w:spacing w:before="54"/>
        <w:rPr>
          <w:b/>
        </w:rPr>
      </w:pPr>
    </w:p>
    <w:p w14:paraId="74C96351" w14:textId="011551B8" w:rsidR="00E1198C" w:rsidRDefault="00000000">
      <w:pPr>
        <w:pStyle w:val="Tekstpodstawowy"/>
        <w:spacing w:line="283" w:lineRule="auto"/>
        <w:ind w:left="510"/>
      </w:pPr>
      <w:r>
        <w:rPr>
          <w:color w:val="231F20"/>
        </w:rPr>
        <w:t>The following table presents gross remuneration paid, due and potentially due to members of the Supervisory Board in 2024 for titles other than performing functions in the Supervisory Board:</w:t>
      </w:r>
    </w:p>
    <w:p w14:paraId="6CF4007A" w14:textId="77777777" w:rsidR="00E1198C" w:rsidRDefault="00E1198C">
      <w:pPr>
        <w:pStyle w:val="Tekstpodstawowy"/>
        <w:rPr>
          <w:sz w:val="13"/>
        </w:rPr>
      </w:pPr>
    </w:p>
    <w:p w14:paraId="67C33171" w14:textId="77777777" w:rsidR="00E1198C" w:rsidRDefault="00E1198C">
      <w:pPr>
        <w:rPr>
          <w:sz w:val="13"/>
        </w:rPr>
        <w:sectPr w:rsidR="00E1198C">
          <w:type w:val="continuous"/>
          <w:pgSz w:w="11900" w:h="16840"/>
          <w:pgMar w:top="1380" w:right="320" w:bottom="0" w:left="300" w:header="0" w:footer="726" w:gutter="0"/>
          <w:cols w:space="708"/>
        </w:sectPr>
      </w:pPr>
    </w:p>
    <w:p w14:paraId="464CB642" w14:textId="022DA5AF" w:rsidR="00E1198C" w:rsidRDefault="00000000" w:rsidP="00720E33">
      <w:pPr>
        <w:pStyle w:val="Tekstpodstawowy"/>
        <w:spacing w:before="77" w:line="244" w:lineRule="auto"/>
        <w:ind w:left="1985" w:right="-573" w:hanging="214"/>
        <w:jc w:val="center"/>
      </w:pPr>
      <w:r>
        <w:rPr>
          <w:color w:val="FFFFFF"/>
        </w:rPr>
        <w:t>Remuneration of members of the Supervisory Board</w:t>
      </w:r>
      <w:r w:rsidR="00720E33">
        <w:rPr>
          <w:color w:val="FFFFFF"/>
        </w:rPr>
        <w:br/>
      </w:r>
      <w:r>
        <w:rPr>
          <w:color w:val="FFFFFF"/>
        </w:rPr>
        <w:t>for titles other than performing functions</w:t>
      </w:r>
    </w:p>
    <w:p w14:paraId="07F8E5A3" w14:textId="77777777" w:rsidR="00E1198C" w:rsidRDefault="00000000">
      <w:pPr>
        <w:pStyle w:val="Tekstpodstawowy"/>
        <w:spacing w:before="137"/>
        <w:ind w:left="510"/>
      </w:pPr>
      <w:r>
        <w:rPr>
          <w:color w:val="231F20"/>
        </w:rPr>
        <w:t>Supervisory Board – Urszula Wieczorek</w:t>
      </w:r>
    </w:p>
    <w:p w14:paraId="728E41A7" w14:textId="77777777" w:rsidR="00E1198C" w:rsidRDefault="00000000">
      <w:pPr>
        <w:pStyle w:val="Tekstpodstawowy"/>
        <w:tabs>
          <w:tab w:val="left" w:pos="1950"/>
        </w:tabs>
        <w:spacing w:before="167"/>
        <w:ind w:left="510"/>
      </w:pPr>
      <w:r>
        <w:br w:type="column"/>
      </w:r>
      <w:r>
        <w:rPr>
          <w:color w:val="FFFFFF"/>
        </w:rPr>
        <w:t>2024</w:t>
      </w:r>
      <w:r>
        <w:rPr>
          <w:color w:val="FFFFFF"/>
        </w:rPr>
        <w:tab/>
        <w:t>2023</w:t>
      </w:r>
    </w:p>
    <w:p w14:paraId="5679A0A6" w14:textId="77777777" w:rsidR="00E1198C" w:rsidRDefault="00E1198C">
      <w:pPr>
        <w:sectPr w:rsidR="00E1198C">
          <w:type w:val="continuous"/>
          <w:pgSz w:w="11900" w:h="16840"/>
          <w:pgMar w:top="1380" w:right="320" w:bottom="0" w:left="300" w:header="0" w:footer="726" w:gutter="0"/>
          <w:cols w:num="2" w:space="708" w:equalWidth="0">
            <w:col w:w="5806" w:space="2128"/>
            <w:col w:w="3346"/>
          </w:cols>
        </w:sectPr>
      </w:pPr>
    </w:p>
    <w:p w14:paraId="1314D93F" w14:textId="77777777" w:rsidR="00E1198C" w:rsidRDefault="00E1198C">
      <w:pPr>
        <w:pStyle w:val="Tekstpodstawowy"/>
        <w:spacing w:before="5"/>
        <w:rPr>
          <w:sz w:val="12"/>
        </w:rPr>
      </w:pPr>
    </w:p>
    <w:tbl>
      <w:tblPr>
        <w:tblStyle w:val="TableNormal"/>
        <w:tblW w:w="0" w:type="auto"/>
        <w:tblInd w:w="467" w:type="dxa"/>
        <w:tblLayout w:type="fixed"/>
        <w:tblLook w:val="01E0" w:firstRow="1" w:lastRow="1" w:firstColumn="1" w:lastColumn="1" w:noHBand="0" w:noVBand="0"/>
      </w:tblPr>
      <w:tblGrid>
        <w:gridCol w:w="5420"/>
        <w:gridCol w:w="3849"/>
        <w:gridCol w:w="1031"/>
      </w:tblGrid>
      <w:tr w:rsidR="00E1198C" w14:paraId="17B5317B" w14:textId="77777777">
        <w:trPr>
          <w:trHeight w:val="266"/>
        </w:trPr>
        <w:tc>
          <w:tcPr>
            <w:tcW w:w="5420" w:type="dxa"/>
          </w:tcPr>
          <w:p w14:paraId="21DF10AB" w14:textId="77777777" w:rsidR="00E1198C" w:rsidRDefault="00000000">
            <w:pPr>
              <w:pStyle w:val="TableParagraph"/>
              <w:spacing w:line="197" w:lineRule="exact"/>
              <w:ind w:left="308"/>
              <w:rPr>
                <w:sz w:val="18"/>
              </w:rPr>
            </w:pPr>
            <w:r>
              <w:rPr>
                <w:color w:val="231F20"/>
                <w:sz w:val="18"/>
              </w:rPr>
              <w:t>- rental</w:t>
            </w:r>
          </w:p>
        </w:tc>
        <w:tc>
          <w:tcPr>
            <w:tcW w:w="3849" w:type="dxa"/>
          </w:tcPr>
          <w:p w14:paraId="058F2E3E" w14:textId="77777777" w:rsidR="00E1198C" w:rsidRDefault="00000000" w:rsidP="00720E33">
            <w:pPr>
              <w:pStyle w:val="TableParagraph"/>
              <w:spacing w:line="197" w:lineRule="exact"/>
              <w:ind w:right="666"/>
              <w:jc w:val="right"/>
              <w:rPr>
                <w:sz w:val="18"/>
              </w:rPr>
            </w:pPr>
            <w:r>
              <w:rPr>
                <w:color w:val="231F20"/>
                <w:sz w:val="18"/>
              </w:rPr>
              <w:t>84,000</w:t>
            </w:r>
          </w:p>
        </w:tc>
        <w:tc>
          <w:tcPr>
            <w:tcW w:w="1031" w:type="dxa"/>
          </w:tcPr>
          <w:p w14:paraId="60EDA3E3" w14:textId="77777777" w:rsidR="00E1198C" w:rsidRDefault="00000000">
            <w:pPr>
              <w:pStyle w:val="TableParagraph"/>
              <w:spacing w:line="197" w:lineRule="exact"/>
              <w:ind w:right="50"/>
              <w:jc w:val="right"/>
              <w:rPr>
                <w:sz w:val="18"/>
              </w:rPr>
            </w:pPr>
            <w:r>
              <w:rPr>
                <w:color w:val="231F20"/>
                <w:sz w:val="18"/>
              </w:rPr>
              <w:t>84,000</w:t>
            </w:r>
          </w:p>
        </w:tc>
      </w:tr>
      <w:tr w:rsidR="00E1198C" w14:paraId="33B9681F" w14:textId="77777777">
        <w:trPr>
          <w:trHeight w:val="354"/>
        </w:trPr>
        <w:tc>
          <w:tcPr>
            <w:tcW w:w="5420" w:type="dxa"/>
          </w:tcPr>
          <w:p w14:paraId="1D37F262" w14:textId="77777777" w:rsidR="00E1198C" w:rsidRDefault="00000000">
            <w:pPr>
              <w:pStyle w:val="TableParagraph"/>
              <w:spacing w:before="59"/>
              <w:ind w:left="308"/>
              <w:rPr>
                <w:sz w:val="18"/>
              </w:rPr>
            </w:pPr>
            <w:r>
              <w:rPr>
                <w:color w:val="231F20"/>
                <w:sz w:val="18"/>
              </w:rPr>
              <w:t>- employment agreement</w:t>
            </w:r>
          </w:p>
        </w:tc>
        <w:tc>
          <w:tcPr>
            <w:tcW w:w="3849" w:type="dxa"/>
          </w:tcPr>
          <w:p w14:paraId="065A6402" w14:textId="77777777" w:rsidR="00E1198C" w:rsidRDefault="00000000" w:rsidP="00720E33">
            <w:pPr>
              <w:pStyle w:val="TableParagraph"/>
              <w:spacing w:before="59"/>
              <w:ind w:right="666"/>
              <w:jc w:val="right"/>
              <w:rPr>
                <w:sz w:val="18"/>
              </w:rPr>
            </w:pPr>
            <w:r>
              <w:rPr>
                <w:color w:val="231F20"/>
                <w:sz w:val="18"/>
              </w:rPr>
              <w:t>91,750</w:t>
            </w:r>
          </w:p>
        </w:tc>
        <w:tc>
          <w:tcPr>
            <w:tcW w:w="1031" w:type="dxa"/>
          </w:tcPr>
          <w:p w14:paraId="54BB625D" w14:textId="77777777" w:rsidR="00E1198C" w:rsidRDefault="00000000">
            <w:pPr>
              <w:pStyle w:val="TableParagraph"/>
              <w:spacing w:before="59"/>
              <w:ind w:right="50"/>
              <w:jc w:val="right"/>
              <w:rPr>
                <w:sz w:val="18"/>
              </w:rPr>
            </w:pPr>
            <w:r>
              <w:rPr>
                <w:color w:val="231F20"/>
                <w:sz w:val="18"/>
              </w:rPr>
              <w:t>77,125</w:t>
            </w:r>
          </w:p>
        </w:tc>
      </w:tr>
      <w:tr w:rsidR="00E1198C" w14:paraId="5C311849" w14:textId="77777777">
        <w:trPr>
          <w:trHeight w:val="621"/>
        </w:trPr>
        <w:tc>
          <w:tcPr>
            <w:tcW w:w="5420" w:type="dxa"/>
          </w:tcPr>
          <w:p w14:paraId="6ADC3B09" w14:textId="77777777" w:rsidR="00E1198C" w:rsidRDefault="00000000">
            <w:pPr>
              <w:pStyle w:val="TableParagraph"/>
              <w:spacing w:before="65"/>
              <w:ind w:left="50"/>
              <w:rPr>
                <w:sz w:val="18"/>
              </w:rPr>
            </w:pPr>
            <w:r>
              <w:rPr>
                <w:color w:val="231F20"/>
                <w:sz w:val="18"/>
              </w:rPr>
              <w:t>Supervisory Board – Artur Wieczorek</w:t>
            </w:r>
          </w:p>
          <w:p w14:paraId="1DD1B6F1" w14:textId="77777777" w:rsidR="00E1198C" w:rsidRDefault="00000000">
            <w:pPr>
              <w:pStyle w:val="TableParagraph"/>
              <w:spacing w:before="129" w:line="187" w:lineRule="exact"/>
              <w:ind w:left="95"/>
              <w:rPr>
                <w:sz w:val="18"/>
              </w:rPr>
            </w:pPr>
            <w:r>
              <w:rPr>
                <w:color w:val="231F20"/>
                <w:sz w:val="18"/>
              </w:rPr>
              <w:t>- employment agreement</w:t>
            </w:r>
          </w:p>
        </w:tc>
        <w:tc>
          <w:tcPr>
            <w:tcW w:w="3849" w:type="dxa"/>
          </w:tcPr>
          <w:p w14:paraId="1163F9F8" w14:textId="77777777" w:rsidR="00E1198C" w:rsidRDefault="00E1198C" w:rsidP="00720E33">
            <w:pPr>
              <w:pStyle w:val="TableParagraph"/>
              <w:spacing w:before="194"/>
              <w:ind w:right="666"/>
              <w:rPr>
                <w:sz w:val="18"/>
              </w:rPr>
            </w:pPr>
          </w:p>
          <w:p w14:paraId="43795E55" w14:textId="77777777" w:rsidR="00E1198C" w:rsidRDefault="00000000" w:rsidP="00720E33">
            <w:pPr>
              <w:pStyle w:val="TableParagraph"/>
              <w:spacing w:line="187" w:lineRule="exact"/>
              <w:ind w:right="666"/>
              <w:jc w:val="right"/>
              <w:rPr>
                <w:sz w:val="18"/>
              </w:rPr>
            </w:pPr>
            <w:r>
              <w:rPr>
                <w:color w:val="231F20"/>
                <w:sz w:val="18"/>
              </w:rPr>
              <w:t>130,750</w:t>
            </w:r>
          </w:p>
        </w:tc>
        <w:tc>
          <w:tcPr>
            <w:tcW w:w="1031" w:type="dxa"/>
          </w:tcPr>
          <w:p w14:paraId="2224C869" w14:textId="77777777" w:rsidR="00E1198C" w:rsidRDefault="00E1198C">
            <w:pPr>
              <w:pStyle w:val="TableParagraph"/>
              <w:spacing w:before="194"/>
              <w:rPr>
                <w:sz w:val="18"/>
              </w:rPr>
            </w:pPr>
          </w:p>
          <w:p w14:paraId="78291C56" w14:textId="77777777" w:rsidR="00E1198C" w:rsidRDefault="00000000">
            <w:pPr>
              <w:pStyle w:val="TableParagraph"/>
              <w:spacing w:line="187" w:lineRule="exact"/>
              <w:ind w:right="49"/>
              <w:jc w:val="right"/>
              <w:rPr>
                <w:sz w:val="18"/>
              </w:rPr>
            </w:pPr>
            <w:r>
              <w:rPr>
                <w:color w:val="231F20"/>
                <w:sz w:val="18"/>
              </w:rPr>
              <w:t>120,000</w:t>
            </w:r>
          </w:p>
        </w:tc>
      </w:tr>
    </w:tbl>
    <w:p w14:paraId="627D8AE6" w14:textId="77777777" w:rsidR="00E1198C" w:rsidRDefault="00E1198C">
      <w:pPr>
        <w:pStyle w:val="Tekstpodstawowy"/>
        <w:spacing w:before="136"/>
      </w:pPr>
    </w:p>
    <w:p w14:paraId="0546865B" w14:textId="77777777" w:rsidR="00E1198C" w:rsidRDefault="00000000">
      <w:pPr>
        <w:pStyle w:val="Tekstpodstawowy"/>
        <w:spacing w:before="1" w:line="283" w:lineRule="auto"/>
        <w:ind w:left="510" w:right="472"/>
      </w:pPr>
      <w:r>
        <w:rPr>
          <w:color w:val="231F20"/>
        </w:rPr>
        <w:t>Members of the Supervisory Board did not receive any awards or benefits, including those resulting from incentive or bonus programs based on the Company’s capital.</w:t>
      </w:r>
    </w:p>
    <w:p w14:paraId="7D9CFAA4" w14:textId="77777777" w:rsidR="00E1198C" w:rsidRDefault="00000000">
      <w:pPr>
        <w:pStyle w:val="Tekstpodstawowy"/>
        <w:spacing w:before="111"/>
        <w:ind w:left="510"/>
      </w:pPr>
      <w:r>
        <w:rPr>
          <w:color w:val="231F20"/>
        </w:rPr>
        <w:t>There was no performance of functions in the authorities of subordinated entities.</w:t>
      </w:r>
    </w:p>
    <w:p w14:paraId="0A485E84" w14:textId="77777777" w:rsidR="00E1198C" w:rsidRDefault="00E1198C">
      <w:pPr>
        <w:sectPr w:rsidR="00E1198C">
          <w:type w:val="continuous"/>
          <w:pgSz w:w="11900" w:h="16840"/>
          <w:pgMar w:top="1380" w:right="320" w:bottom="0" w:left="300" w:header="0" w:footer="726" w:gutter="0"/>
          <w:cols w:space="708"/>
        </w:sectPr>
      </w:pPr>
    </w:p>
    <w:p w14:paraId="155EA807" w14:textId="77777777" w:rsidR="00E1198C" w:rsidRDefault="00000000">
      <w:pPr>
        <w:pStyle w:val="Akapitzlist"/>
        <w:numPr>
          <w:ilvl w:val="1"/>
          <w:numId w:val="43"/>
        </w:numPr>
        <w:tabs>
          <w:tab w:val="left" w:pos="1088"/>
        </w:tabs>
        <w:spacing w:before="61"/>
        <w:ind w:hanging="578"/>
        <w:rPr>
          <w:sz w:val="18"/>
        </w:rPr>
      </w:pPr>
      <w:r>
        <w:rPr>
          <w:color w:val="F07D00"/>
          <w:sz w:val="18"/>
        </w:rPr>
        <w:lastRenderedPageBreak/>
        <w:t>Agreements providing for remuneration to managers</w:t>
      </w:r>
    </w:p>
    <w:p w14:paraId="6B60BF40" w14:textId="77777777" w:rsidR="00E1198C" w:rsidRDefault="00E1198C">
      <w:pPr>
        <w:pStyle w:val="Tekstpodstawowy"/>
        <w:spacing w:before="134"/>
      </w:pPr>
    </w:p>
    <w:p w14:paraId="7995E89E" w14:textId="77777777" w:rsidR="00E1198C" w:rsidRDefault="00000000">
      <w:pPr>
        <w:pStyle w:val="Tekstpodstawowy"/>
        <w:spacing w:before="1" w:line="271" w:lineRule="auto"/>
        <w:ind w:left="510" w:right="478"/>
        <w:jc w:val="both"/>
      </w:pPr>
      <w:r>
        <w:rPr>
          <w:color w:val="231F20"/>
        </w:rPr>
        <w:t>The agreements concluded with the managing persons do not provide for compensation in the event of their resignation or dismissal from their post without a valid reason or when their dismissal is due to the merger of the Company by acquisition.</w:t>
      </w:r>
    </w:p>
    <w:p w14:paraId="0709E4AC" w14:textId="77777777" w:rsidR="00E1198C" w:rsidRDefault="00E1198C">
      <w:pPr>
        <w:pStyle w:val="Tekstpodstawowy"/>
        <w:spacing w:before="26"/>
      </w:pPr>
    </w:p>
    <w:p w14:paraId="219643EC" w14:textId="77777777" w:rsidR="00E1198C" w:rsidRDefault="00000000">
      <w:pPr>
        <w:pStyle w:val="Akapitzlist"/>
        <w:numPr>
          <w:ilvl w:val="1"/>
          <w:numId w:val="43"/>
        </w:numPr>
        <w:tabs>
          <w:tab w:val="left" w:pos="1088"/>
        </w:tabs>
        <w:ind w:hanging="578"/>
        <w:rPr>
          <w:sz w:val="18"/>
        </w:rPr>
      </w:pPr>
      <w:r>
        <w:rPr>
          <w:color w:val="F07D00"/>
          <w:sz w:val="18"/>
        </w:rPr>
        <w:t>Liabilities arising from pensions and similar benefits to former managers and supervisors</w:t>
      </w:r>
    </w:p>
    <w:p w14:paraId="1CB8795F" w14:textId="77777777" w:rsidR="00E1198C" w:rsidRDefault="00E1198C">
      <w:pPr>
        <w:pStyle w:val="Tekstpodstawowy"/>
        <w:spacing w:before="123"/>
      </w:pPr>
    </w:p>
    <w:p w14:paraId="6C14F3AC" w14:textId="77777777" w:rsidR="00E1198C" w:rsidRDefault="00000000">
      <w:pPr>
        <w:pStyle w:val="Tekstpodstawowy"/>
        <w:spacing w:line="283" w:lineRule="auto"/>
        <w:ind w:left="510" w:right="477"/>
        <w:jc w:val="both"/>
      </w:pPr>
      <w:r>
        <w:rPr>
          <w:color w:val="231F20"/>
        </w:rPr>
        <w:t>There are no liabilities arising from pensions and similar benefits for former managers and supervisors or liabilities incurred in connection with the above-mentioned pensions.</w:t>
      </w:r>
    </w:p>
    <w:p w14:paraId="7AD4F63B" w14:textId="77777777" w:rsidR="00E1198C" w:rsidRDefault="00E1198C">
      <w:pPr>
        <w:pStyle w:val="Tekstpodstawowy"/>
        <w:spacing w:before="16"/>
      </w:pPr>
    </w:p>
    <w:p w14:paraId="56F7333D" w14:textId="77777777" w:rsidR="00E1198C" w:rsidRDefault="00000000">
      <w:pPr>
        <w:pStyle w:val="Akapitzlist"/>
        <w:numPr>
          <w:ilvl w:val="0"/>
          <w:numId w:val="43"/>
        </w:numPr>
        <w:tabs>
          <w:tab w:val="left" w:pos="942"/>
        </w:tabs>
        <w:ind w:hanging="432"/>
        <w:rPr>
          <w:sz w:val="18"/>
        </w:rPr>
      </w:pPr>
      <w:r>
        <w:rPr>
          <w:color w:val="F5811F"/>
          <w:sz w:val="18"/>
        </w:rPr>
        <w:t>Additional Information</w:t>
      </w:r>
    </w:p>
    <w:p w14:paraId="64758419" w14:textId="77777777" w:rsidR="00E1198C" w:rsidRDefault="00E1198C">
      <w:pPr>
        <w:pStyle w:val="Tekstpodstawowy"/>
        <w:spacing w:before="55"/>
      </w:pPr>
    </w:p>
    <w:p w14:paraId="0B59A43A" w14:textId="77777777" w:rsidR="00E1198C" w:rsidRDefault="00000000">
      <w:pPr>
        <w:pStyle w:val="Akapitzlist"/>
        <w:numPr>
          <w:ilvl w:val="1"/>
          <w:numId w:val="43"/>
        </w:numPr>
        <w:tabs>
          <w:tab w:val="left" w:pos="1088"/>
        </w:tabs>
        <w:spacing w:before="1"/>
        <w:ind w:hanging="578"/>
        <w:rPr>
          <w:sz w:val="18"/>
        </w:rPr>
      </w:pPr>
      <w:r>
        <w:rPr>
          <w:color w:val="F07D00"/>
          <w:sz w:val="18"/>
        </w:rPr>
        <w:t>Proceedings pending before a court, an authority competent for arbitration proceedings or a public administration body</w:t>
      </w:r>
    </w:p>
    <w:p w14:paraId="08FE0331" w14:textId="77777777" w:rsidR="00E1198C" w:rsidRDefault="00E1198C">
      <w:pPr>
        <w:pStyle w:val="Tekstpodstawowy"/>
        <w:spacing w:before="123"/>
      </w:pPr>
    </w:p>
    <w:p w14:paraId="13CD122C" w14:textId="5B18A35D" w:rsidR="00E1198C" w:rsidRDefault="00000000">
      <w:pPr>
        <w:pStyle w:val="Tekstpodstawowy"/>
        <w:spacing w:line="278" w:lineRule="auto"/>
        <w:ind w:left="510" w:right="478"/>
        <w:jc w:val="both"/>
      </w:pPr>
      <w:r>
        <w:t xml:space="preserve">On June 29, 2021, </w:t>
      </w:r>
      <w:proofErr w:type="spellStart"/>
      <w:r>
        <w:t>Polfarmex</w:t>
      </w:r>
      <w:proofErr w:type="spellEnd"/>
      <w:r>
        <w:t xml:space="preserve"> S.A. filed a case against Celon Pharma S.A. to the District Court in Warsaw, motioning for adjudicating the amount of PLN 659.000 (together with interest due) as remuneration for the performance of the Agreement on the joint venture of September 28, 2010 and Annex no. 1 of June 17, 2014 to the aforementioned Agreement by the Parties. In response to the aforementioned statement of claim, the Company requested dismissing the claim as unjustified. The Company does not deny the existence of the aforementioned Agreement on the joint venture and the annexes thereto, the main purpose of which was to start the cooperation aimed at the supply, on a joint and several basis, of Salmex (</w:t>
      </w:r>
      <w:proofErr w:type="spellStart"/>
      <w:r>
        <w:t>Fluticasoni</w:t>
      </w:r>
      <w:proofErr w:type="spellEnd"/>
      <w:r>
        <w:t xml:space="preserve"> </w:t>
      </w:r>
      <w:proofErr w:type="spellStart"/>
      <w:r>
        <w:t>propionas</w:t>
      </w:r>
      <w:proofErr w:type="spellEnd"/>
      <w:r>
        <w:t xml:space="preserve"> + </w:t>
      </w:r>
      <w:proofErr w:type="spellStart"/>
      <w:r>
        <w:t>Salmeterolum</w:t>
      </w:r>
      <w:proofErr w:type="spellEnd"/>
      <w:r>
        <w:t xml:space="preserve">) to the French market, however the Company does not accept the claims of </w:t>
      </w:r>
      <w:proofErr w:type="spellStart"/>
      <w:r>
        <w:t>Polfarmex</w:t>
      </w:r>
      <w:proofErr w:type="spellEnd"/>
      <w:r>
        <w:t xml:space="preserve"> S.A. that interprets the agreement between the Parties in a unilateral and highly subjective manner, using an unclear methodology for calculating the profit resulting from the performance of the agreement. The evidentiary proceedings are currently ongoing.</w:t>
      </w:r>
    </w:p>
    <w:p w14:paraId="3D3ECB45" w14:textId="77777777" w:rsidR="00E1198C" w:rsidRDefault="00000000">
      <w:pPr>
        <w:pStyle w:val="Tekstpodstawowy"/>
        <w:spacing w:before="110" w:line="276" w:lineRule="auto"/>
        <w:ind w:left="510" w:right="475"/>
        <w:jc w:val="both"/>
      </w:pPr>
      <w:proofErr w:type="spellStart"/>
      <w:r>
        <w:t>Polfarmex</w:t>
      </w:r>
      <w:proofErr w:type="spellEnd"/>
      <w:r>
        <w:t xml:space="preserve"> S.A. filed a case against Celon Pharma S.A. to the District Court in Warsaw on April 28, 2023 (delivered June 28, 2023). The subject of the case is the amount of PLN 11.8 million as payment of remuneration for using intellectual property rights for the years 2020, 2021 and 2022, resulting from the parties' performance of the above-referenced Joint Venture Agreement. The Company filed a response to the claim on July 27, 2023 together with a request to suspend the proceedings, which was rejected by the Court on September 15, 2023. The evidentiary proceedings are currently ongoing. The total amount of provisions as of December 31, 2024 for costs related to the aforementioned dispute amounts to PLN 2.8 million.</w:t>
      </w:r>
    </w:p>
    <w:p w14:paraId="2D08F321" w14:textId="77777777" w:rsidR="00E1198C" w:rsidRDefault="00000000">
      <w:pPr>
        <w:pStyle w:val="Tekstpodstawowy"/>
        <w:spacing w:before="116" w:line="276" w:lineRule="auto"/>
        <w:ind w:left="510" w:right="471"/>
        <w:jc w:val="both"/>
      </w:pPr>
      <w:r>
        <w:t>On April 8, 2024, Bayer Intellectual Property GmbH filed a motion for interim relief by ordering the Company to destroy lots of Zarixa in connection with alleged patent infringement. On June 4, 2024, the court dismissed the motion for interim relief. As of today, the ruling is not final. On July 31, 2024, Bayer lodged an appeal against the ruling of the court, which was dismissed by a final ruling of the Court of Appeal in Warsaw on January 14, 2025. The court upheld Celon Pharma S.A.’s arguments and fully supported the position of the lower court.</w:t>
      </w:r>
    </w:p>
    <w:p w14:paraId="4B640364" w14:textId="77777777" w:rsidR="00E1198C" w:rsidRDefault="00000000">
      <w:pPr>
        <w:pStyle w:val="Tekstpodstawowy"/>
        <w:spacing w:before="121" w:line="276" w:lineRule="auto"/>
        <w:ind w:left="510" w:right="479"/>
        <w:jc w:val="both"/>
      </w:pPr>
      <w:r>
        <w:t>On June 4, 2024, Bayer Intellectual Property GmbH filed a lawsuit for infringement of intellectual property rights from a patent concerning rivaroxaban (Zarixa). The lawsuit was served to the Company on August 19 of this year. The value of the subject matter in dispute is PLN 1 million. On September 9, 2024, the Company filed a response to the lawsuit, and on September 10, 2024, it submitted an application to the Patent Office of the Republic of Poland for the invalidation of Bayer's patent, which is the source of the above-described legal dispute. The matter remains ongoing. The Company estimates the risk of an unfavorable outcome of the pending dispute as low and has not created any provision in this respect.</w:t>
      </w:r>
    </w:p>
    <w:p w14:paraId="56E2FB54" w14:textId="77777777" w:rsidR="00E1198C" w:rsidRDefault="00000000">
      <w:pPr>
        <w:pStyle w:val="Tekstpodstawowy"/>
        <w:spacing w:before="120" w:line="276" w:lineRule="auto"/>
        <w:ind w:left="510" w:right="477"/>
        <w:jc w:val="both"/>
      </w:pPr>
      <w:r>
        <w:t>There were no other significant proceedings pending before a court, a competent arbitration authority or a public administration authority concerning the Company’s liabilities or receivables as at December 31, 2024 and as at the date of preparation of this report.</w:t>
      </w:r>
    </w:p>
    <w:p w14:paraId="5CD0A3D9" w14:textId="77777777" w:rsidR="00E1198C" w:rsidRDefault="00E1198C">
      <w:pPr>
        <w:pStyle w:val="Tekstpodstawowy"/>
        <w:spacing w:before="24"/>
      </w:pPr>
    </w:p>
    <w:p w14:paraId="4B2AAFF8" w14:textId="77777777" w:rsidR="00E1198C" w:rsidRDefault="00000000">
      <w:pPr>
        <w:pStyle w:val="Akapitzlist"/>
        <w:numPr>
          <w:ilvl w:val="1"/>
          <w:numId w:val="43"/>
        </w:numPr>
        <w:tabs>
          <w:tab w:val="left" w:pos="1088"/>
        </w:tabs>
        <w:ind w:hanging="578"/>
        <w:rPr>
          <w:sz w:val="18"/>
        </w:rPr>
      </w:pPr>
      <w:r>
        <w:rPr>
          <w:color w:val="F07D00"/>
          <w:sz w:val="18"/>
        </w:rPr>
        <w:t>Key intangible assets</w:t>
      </w:r>
    </w:p>
    <w:p w14:paraId="3FADABC3" w14:textId="77777777" w:rsidR="00E1198C" w:rsidRDefault="00E1198C">
      <w:pPr>
        <w:pStyle w:val="Tekstpodstawowy"/>
        <w:spacing w:before="116"/>
      </w:pPr>
    </w:p>
    <w:p w14:paraId="04A33C8C" w14:textId="77777777" w:rsidR="00E1198C" w:rsidRDefault="00000000">
      <w:pPr>
        <w:pStyle w:val="Nagwek5"/>
        <w:jc w:val="both"/>
      </w:pPr>
      <w:r>
        <w:rPr>
          <w:color w:val="F07D00"/>
        </w:rPr>
        <w:t>Information on the key intangible assets of the entity</w:t>
      </w:r>
    </w:p>
    <w:p w14:paraId="05567F22" w14:textId="77777777" w:rsidR="00E1198C" w:rsidRDefault="00000000">
      <w:pPr>
        <w:pStyle w:val="Tekstpodstawowy"/>
        <w:spacing w:before="147" w:line="276" w:lineRule="auto"/>
        <w:ind w:left="510" w:right="476"/>
        <w:jc w:val="both"/>
      </w:pPr>
      <w:r>
        <w:rPr>
          <w:color w:val="231F20"/>
        </w:rPr>
        <w:t>The Company identifies three key areas of its intangible assets: human resources, organizational resources, and relationships with business entities. Each of these elements contributes to strengthening the Company’s market position, ensures operational efficiency, and supports its long-term development.</w:t>
      </w:r>
    </w:p>
    <w:p w14:paraId="6257FEA3" w14:textId="77777777" w:rsidR="00E1198C" w:rsidRDefault="00000000">
      <w:pPr>
        <w:pStyle w:val="Tekstpodstawowy"/>
        <w:spacing w:before="131" w:line="271" w:lineRule="auto"/>
        <w:ind w:left="510" w:right="480"/>
        <w:jc w:val="both"/>
      </w:pPr>
      <w:r>
        <w:rPr>
          <w:color w:val="231F20"/>
        </w:rPr>
        <w:t>Human capital represents an important pillar of the Company’s business activity, based on the knowledge, experience, and skills of its team. In fact, employees play a key role in the Company’s development and in ensuring its operational efficiency. Several important aspects can be distinguished within this area:</w:t>
      </w:r>
    </w:p>
    <w:p w14:paraId="3066DC42" w14:textId="0F4B7ADE" w:rsidR="00E1198C" w:rsidRPr="00C241D1" w:rsidRDefault="00000000" w:rsidP="00C241D1">
      <w:pPr>
        <w:pStyle w:val="Akapitzlist"/>
        <w:numPr>
          <w:ilvl w:val="0"/>
          <w:numId w:val="20"/>
        </w:numPr>
        <w:tabs>
          <w:tab w:val="left" w:pos="1588"/>
          <w:tab w:val="left" w:pos="1590"/>
        </w:tabs>
        <w:spacing w:before="133" w:line="271" w:lineRule="auto"/>
        <w:ind w:right="475"/>
        <w:jc w:val="both"/>
        <w:rPr>
          <w:rFonts w:ascii="Arial" w:hAnsi="Arial"/>
          <w:color w:val="EC7D31"/>
          <w:sz w:val="18"/>
        </w:rPr>
        <w:sectPr w:rsidR="00E1198C" w:rsidRPr="00C241D1">
          <w:pgSz w:w="11900" w:h="16840"/>
          <w:pgMar w:top="820" w:right="320" w:bottom="920" w:left="300" w:header="0" w:footer="726" w:gutter="0"/>
          <w:cols w:space="708"/>
        </w:sectPr>
      </w:pPr>
      <w:r>
        <w:rPr>
          <w:color w:val="231F20"/>
          <w:sz w:val="18"/>
        </w:rPr>
        <w:t>Experience and qualifications of the team: Given that the Company operates in a specialized industry, the vast majority of its employees have education, skills, and expertise in the fields of pharmacy, drug manufacturing and development, medical chemistry, molecular biology, and biotechnology. Managerial positions across the Company’s various operational areas are held by professionals with extensive industry experience, each possessing a relevant MSc or PhD degree.</w:t>
      </w:r>
    </w:p>
    <w:p w14:paraId="751CA086" w14:textId="5BC390A6" w:rsidR="00E1198C" w:rsidRDefault="00E1198C" w:rsidP="00C241D1">
      <w:pPr>
        <w:pStyle w:val="Tekstpodstawowy"/>
        <w:spacing w:before="61"/>
        <w:jc w:val="both"/>
      </w:pPr>
    </w:p>
    <w:p w14:paraId="664718A2" w14:textId="77777777" w:rsidR="00E1198C" w:rsidRDefault="00000000">
      <w:pPr>
        <w:pStyle w:val="Akapitzlist"/>
        <w:numPr>
          <w:ilvl w:val="0"/>
          <w:numId w:val="20"/>
        </w:numPr>
        <w:tabs>
          <w:tab w:val="left" w:pos="1588"/>
          <w:tab w:val="left" w:pos="1590"/>
        </w:tabs>
        <w:spacing w:before="152" w:line="276" w:lineRule="auto"/>
        <w:ind w:right="475"/>
        <w:jc w:val="both"/>
        <w:rPr>
          <w:rFonts w:ascii="Arial" w:hAnsi="Arial"/>
          <w:color w:val="EC7D31"/>
          <w:sz w:val="18"/>
        </w:rPr>
      </w:pPr>
      <w:r>
        <w:rPr>
          <w:color w:val="231F20"/>
          <w:sz w:val="18"/>
        </w:rPr>
        <w:t xml:space="preserve">Advanced technical and analytical skills: The proper technical functioning of the machines is ensured and developed by a separate technical maintenance team. These are individuals who are qualified and trained in the operation, maintenance, and repair of manufacturing and research equipment. Sales, financial, and business processes are supported by analyses prepared by the internal controlling department, based on external data sources, including, inter alia, the </w:t>
      </w:r>
      <w:proofErr w:type="spellStart"/>
      <w:r>
        <w:rPr>
          <w:color w:val="231F20"/>
          <w:sz w:val="18"/>
        </w:rPr>
        <w:t>IQVIA</w:t>
      </w:r>
      <w:proofErr w:type="spellEnd"/>
      <w:r>
        <w:rPr>
          <w:color w:val="231F20"/>
          <w:sz w:val="18"/>
        </w:rPr>
        <w:t xml:space="preserve"> system.</w:t>
      </w:r>
    </w:p>
    <w:p w14:paraId="5088E4AE" w14:textId="77777777" w:rsidR="00E1198C" w:rsidRDefault="00000000">
      <w:pPr>
        <w:pStyle w:val="Akapitzlist"/>
        <w:numPr>
          <w:ilvl w:val="0"/>
          <w:numId w:val="20"/>
        </w:numPr>
        <w:tabs>
          <w:tab w:val="left" w:pos="1588"/>
          <w:tab w:val="left" w:pos="1590"/>
        </w:tabs>
        <w:spacing w:before="120" w:line="278" w:lineRule="auto"/>
        <w:ind w:right="479"/>
        <w:jc w:val="both"/>
        <w:rPr>
          <w:rFonts w:ascii="Arial" w:hAnsi="Arial"/>
          <w:color w:val="EC7D31"/>
          <w:sz w:val="18"/>
        </w:rPr>
      </w:pPr>
      <w:r>
        <w:rPr>
          <w:color w:val="231F20"/>
          <w:sz w:val="18"/>
        </w:rPr>
        <w:t>Employee development and training: The Company’s HR department assesses the training needs of employees and submits recommendations to the Management Board in this regard. The Company enables employee development through a system of co-funding postgraduate education in areas key to its business activities. These include, for example, clinical development of drugs, sales management, and management of biotechnology projects.</w:t>
      </w:r>
    </w:p>
    <w:p w14:paraId="2EB9BB48" w14:textId="77777777" w:rsidR="00E1198C" w:rsidRDefault="00000000">
      <w:pPr>
        <w:pStyle w:val="Akapitzlist"/>
        <w:numPr>
          <w:ilvl w:val="0"/>
          <w:numId w:val="20"/>
        </w:numPr>
        <w:tabs>
          <w:tab w:val="left" w:pos="1588"/>
          <w:tab w:val="left" w:pos="1590"/>
        </w:tabs>
        <w:spacing w:before="118" w:line="273" w:lineRule="auto"/>
        <w:ind w:right="476"/>
        <w:jc w:val="both"/>
        <w:rPr>
          <w:rFonts w:ascii="Arial" w:hAnsi="Arial"/>
          <w:color w:val="EC7D31"/>
          <w:sz w:val="18"/>
        </w:rPr>
      </w:pPr>
      <w:r>
        <w:rPr>
          <w:color w:val="231F20"/>
          <w:sz w:val="18"/>
        </w:rPr>
        <w:t>Organizational culture and team engagement: In accordance with the applicable work regulations, Celon Pharma offers its employees benefits aimed at increasing their engagement, i.e., co-funding for Multisport wellness cards, funding for private medical care, co-funding for meals at work, team-building meetings, participation in charity campaigns, and sporting events.</w:t>
      </w:r>
    </w:p>
    <w:p w14:paraId="47B8DF80" w14:textId="2EFAD788" w:rsidR="00E1198C" w:rsidRPr="00C241D1" w:rsidRDefault="00000000" w:rsidP="00C241D1">
      <w:pPr>
        <w:pStyle w:val="Akapitzlist"/>
        <w:numPr>
          <w:ilvl w:val="0"/>
          <w:numId w:val="20"/>
        </w:numPr>
        <w:tabs>
          <w:tab w:val="left" w:pos="1589"/>
        </w:tabs>
        <w:spacing w:before="123"/>
        <w:ind w:left="1589" w:right="507" w:hanging="359"/>
        <w:jc w:val="both"/>
        <w:rPr>
          <w:rFonts w:ascii="Arial" w:hAnsi="Arial"/>
          <w:color w:val="EC7D31"/>
          <w:sz w:val="18"/>
        </w:rPr>
      </w:pPr>
      <w:r>
        <w:rPr>
          <w:color w:val="231F20"/>
          <w:sz w:val="18"/>
        </w:rPr>
        <w:t>Organizational resources include resources that support operational efficiency and streamline internal processes within the Company. This category includes, inter alia:</w:t>
      </w:r>
    </w:p>
    <w:p w14:paraId="1A63093E" w14:textId="77777777" w:rsidR="00E1198C" w:rsidRDefault="00000000">
      <w:pPr>
        <w:pStyle w:val="Akapitzlist"/>
        <w:numPr>
          <w:ilvl w:val="0"/>
          <w:numId w:val="20"/>
        </w:numPr>
        <w:tabs>
          <w:tab w:val="left" w:pos="1230"/>
          <w:tab w:val="left" w:pos="1642"/>
        </w:tabs>
        <w:spacing w:before="147" w:line="268" w:lineRule="auto"/>
        <w:ind w:left="1230" w:right="478" w:hanging="12"/>
        <w:jc w:val="both"/>
        <w:rPr>
          <w:rFonts w:ascii="Arial" w:hAnsi="Arial"/>
          <w:color w:val="EC7D31"/>
          <w:sz w:val="20"/>
        </w:rPr>
      </w:pPr>
      <w:r>
        <w:rPr>
          <w:color w:val="231F20"/>
          <w:sz w:val="18"/>
        </w:rPr>
        <w:t>Technologies: The Company has implemented manufacturing technologies that enable it to independently manufacture all parts of the inhaler for its medicines, as well as automate its assembly. This allows for better control over the quality of the manufactured product and significantly affects manufacturing efficiency in the Company’s inhalation drug segment.</w:t>
      </w:r>
    </w:p>
    <w:p w14:paraId="64665DE6" w14:textId="77777777" w:rsidR="00E1198C" w:rsidRDefault="00000000">
      <w:pPr>
        <w:pStyle w:val="Akapitzlist"/>
        <w:numPr>
          <w:ilvl w:val="0"/>
          <w:numId w:val="20"/>
        </w:numPr>
        <w:tabs>
          <w:tab w:val="left" w:pos="1230"/>
          <w:tab w:val="left" w:pos="1642"/>
        </w:tabs>
        <w:spacing w:before="122" w:line="276" w:lineRule="auto"/>
        <w:ind w:left="1230" w:right="472" w:hanging="12"/>
        <w:jc w:val="both"/>
        <w:rPr>
          <w:rFonts w:ascii="Arial" w:hAnsi="Arial"/>
          <w:color w:val="EC7D31"/>
          <w:sz w:val="20"/>
        </w:rPr>
      </w:pPr>
      <w:r>
        <w:rPr>
          <w:color w:val="231F20"/>
          <w:sz w:val="18"/>
        </w:rPr>
        <w:t>Organizational structure and operational processes: The Company’s organizational structure stems directly from the provisions of pharmaceutical law; however, particularly in the scientific and research section, there is a clear therapeutic division of individual research groups, which is replicated in subsequent departments. This allows for the smooth implementation of tasks in the R&amp;D area, enables the transfer of knowledge between different areas, and ultimately provides opportunities for internal promotion for employees within a given specialization.</w:t>
      </w:r>
    </w:p>
    <w:p w14:paraId="462D1A3E" w14:textId="77777777" w:rsidR="00E1198C" w:rsidRDefault="00000000">
      <w:pPr>
        <w:pStyle w:val="Akapitzlist"/>
        <w:numPr>
          <w:ilvl w:val="0"/>
          <w:numId w:val="20"/>
        </w:numPr>
        <w:tabs>
          <w:tab w:val="left" w:pos="1230"/>
          <w:tab w:val="left" w:pos="1642"/>
        </w:tabs>
        <w:spacing w:before="114" w:line="268" w:lineRule="auto"/>
        <w:ind w:left="1230" w:right="474" w:hanging="12"/>
        <w:jc w:val="both"/>
        <w:rPr>
          <w:rFonts w:ascii="Arial" w:hAnsi="Arial"/>
          <w:color w:val="EC7D31"/>
          <w:sz w:val="20"/>
        </w:rPr>
      </w:pPr>
      <w:r>
        <w:rPr>
          <w:color w:val="231F20"/>
          <w:sz w:val="18"/>
        </w:rPr>
        <w:t>Innovations: The Company secures the intellectual property (IP) of its R&amp;D projects to varying extents. It currently holds several dozen patents with varying scopes of validity. These constitute resources that significantly enhance the competitive advantage of the compounds under development.</w:t>
      </w:r>
    </w:p>
    <w:p w14:paraId="4B54A69F" w14:textId="77777777" w:rsidR="00E1198C" w:rsidRDefault="00000000">
      <w:pPr>
        <w:pStyle w:val="Akapitzlist"/>
        <w:numPr>
          <w:ilvl w:val="0"/>
          <w:numId w:val="20"/>
        </w:numPr>
        <w:tabs>
          <w:tab w:val="left" w:pos="1230"/>
          <w:tab w:val="left" w:pos="1642"/>
        </w:tabs>
        <w:spacing w:before="121" w:line="276" w:lineRule="auto"/>
        <w:ind w:left="1230" w:right="478" w:hanging="12"/>
        <w:jc w:val="both"/>
        <w:rPr>
          <w:rFonts w:ascii="Arial" w:hAnsi="Arial"/>
          <w:color w:val="EC7D31"/>
          <w:sz w:val="20"/>
        </w:rPr>
      </w:pPr>
      <w:r>
        <w:rPr>
          <w:color w:val="231F20"/>
          <w:sz w:val="18"/>
        </w:rPr>
        <w:t>IT systems: In pursuit of operational efficiency, the Company has implemented integrated human resources and payroll management systems, as well as digital work flows for financial documentation and payments. It also owns pharmaceutical-specific computer systems used to manage the manufacturing process and quality control. These systems are continuously validated by a dedicated internal unit and adjusted to meet current Good Manufacturing Practice and Good Laboratory Practice requirements.</w:t>
      </w:r>
    </w:p>
    <w:p w14:paraId="09890366" w14:textId="77777777" w:rsidR="00E1198C" w:rsidRDefault="00000000">
      <w:pPr>
        <w:pStyle w:val="Tekstpodstawowy"/>
        <w:spacing w:before="119" w:line="283" w:lineRule="auto"/>
        <w:ind w:left="510" w:right="480"/>
        <w:jc w:val="both"/>
      </w:pPr>
      <w:r>
        <w:rPr>
          <w:color w:val="231F20"/>
        </w:rPr>
        <w:t>Relationships with business entities include the Company’s relationships with the market, i.e., customers, business partners, and other stakeholders. This may include, inter alia:</w:t>
      </w:r>
    </w:p>
    <w:p w14:paraId="6854072A" w14:textId="77777777" w:rsidR="00E1198C" w:rsidRDefault="00000000">
      <w:pPr>
        <w:pStyle w:val="Akapitzlist"/>
        <w:numPr>
          <w:ilvl w:val="0"/>
          <w:numId w:val="20"/>
        </w:numPr>
        <w:tabs>
          <w:tab w:val="left" w:pos="1230"/>
          <w:tab w:val="left" w:pos="1925"/>
        </w:tabs>
        <w:spacing w:before="106" w:line="273" w:lineRule="auto"/>
        <w:ind w:left="1230" w:right="476" w:hanging="12"/>
        <w:jc w:val="both"/>
        <w:rPr>
          <w:rFonts w:ascii="Arial" w:hAnsi="Arial"/>
          <w:color w:val="EC7D31"/>
          <w:sz w:val="20"/>
        </w:rPr>
      </w:pPr>
      <w:r>
        <w:rPr>
          <w:color w:val="231F20"/>
          <w:sz w:val="18"/>
        </w:rPr>
        <w:t>Customers of the Company: Given the specific nature of its business, the Company’s main customers include specialized pharmaceutical market entities involved in the development and distribution of medicines, pharmaceutical substances, and laboratory equipment. Relationships with these entities are strictly regulated by pharmaceutical law and are also audited as part of the quality management system in place at Celon Pharma S.A.</w:t>
      </w:r>
    </w:p>
    <w:p w14:paraId="7AA3CF6A" w14:textId="77777777" w:rsidR="00E1198C" w:rsidRDefault="00000000">
      <w:pPr>
        <w:pStyle w:val="Akapitzlist"/>
        <w:numPr>
          <w:ilvl w:val="0"/>
          <w:numId w:val="20"/>
        </w:numPr>
        <w:tabs>
          <w:tab w:val="left" w:pos="1230"/>
          <w:tab w:val="left" w:pos="1925"/>
        </w:tabs>
        <w:spacing w:before="117" w:line="276" w:lineRule="auto"/>
        <w:ind w:left="1230" w:right="480" w:hanging="12"/>
        <w:jc w:val="both"/>
        <w:rPr>
          <w:rFonts w:ascii="Arial" w:hAnsi="Arial"/>
          <w:color w:val="EC7D31"/>
          <w:sz w:val="20"/>
        </w:rPr>
      </w:pPr>
      <w:r>
        <w:rPr>
          <w:color w:val="231F20"/>
          <w:sz w:val="18"/>
        </w:rPr>
        <w:t>Relationships with suppliers are managed directly by the Supply Chain team, and supplier selection is conducted in accordance with the supplier qualification procedure, which constitutes a part of the Company’s Quality Management System which is additionally audited by the Main Pharmaceutical Inspectorate.</w:t>
      </w:r>
    </w:p>
    <w:p w14:paraId="79590AB1" w14:textId="77777777" w:rsidR="00E1198C" w:rsidRDefault="00000000">
      <w:pPr>
        <w:pStyle w:val="Akapitzlist"/>
        <w:numPr>
          <w:ilvl w:val="0"/>
          <w:numId w:val="20"/>
        </w:numPr>
        <w:tabs>
          <w:tab w:val="left" w:pos="1230"/>
          <w:tab w:val="left" w:pos="1925"/>
        </w:tabs>
        <w:spacing w:before="114" w:line="276" w:lineRule="auto"/>
        <w:ind w:left="1230" w:right="477" w:hanging="12"/>
        <w:jc w:val="both"/>
        <w:rPr>
          <w:rFonts w:ascii="Arial" w:hAnsi="Arial"/>
          <w:color w:val="EC7D31"/>
          <w:sz w:val="20"/>
        </w:rPr>
      </w:pPr>
      <w:r>
        <w:rPr>
          <w:color w:val="231F20"/>
          <w:sz w:val="18"/>
        </w:rPr>
        <w:t xml:space="preserve">Strategic contracts and agreements are concluded by the Management Board on behalf of the Company. Currently, these include license agreements related to the distribution of Salmex on export markets (the companies: Glenmark, </w:t>
      </w:r>
      <w:proofErr w:type="spellStart"/>
      <w:r>
        <w:rPr>
          <w:color w:val="231F20"/>
          <w:sz w:val="18"/>
        </w:rPr>
        <w:t>Viatris</w:t>
      </w:r>
      <w:proofErr w:type="spellEnd"/>
      <w:r>
        <w:rPr>
          <w:color w:val="231F20"/>
          <w:sz w:val="18"/>
        </w:rPr>
        <w:t>), as well as agreements covering the development of this product on the Chinese (</w:t>
      </w:r>
      <w:proofErr w:type="spellStart"/>
      <w:r>
        <w:rPr>
          <w:color w:val="231F20"/>
          <w:sz w:val="18"/>
        </w:rPr>
        <w:t>Simcare</w:t>
      </w:r>
      <w:proofErr w:type="spellEnd"/>
      <w:r>
        <w:rPr>
          <w:color w:val="231F20"/>
          <w:sz w:val="18"/>
        </w:rPr>
        <w:t>) and American (Zydus) markets.</w:t>
      </w:r>
    </w:p>
    <w:p w14:paraId="67FC2BCC" w14:textId="77777777" w:rsidR="00E1198C" w:rsidRDefault="00000000">
      <w:pPr>
        <w:pStyle w:val="Akapitzlist"/>
        <w:numPr>
          <w:ilvl w:val="0"/>
          <w:numId w:val="20"/>
        </w:numPr>
        <w:tabs>
          <w:tab w:val="left" w:pos="1230"/>
          <w:tab w:val="left" w:pos="1925"/>
        </w:tabs>
        <w:spacing w:before="113" w:line="268" w:lineRule="auto"/>
        <w:ind w:left="1230" w:right="480" w:hanging="12"/>
        <w:jc w:val="both"/>
        <w:rPr>
          <w:rFonts w:ascii="Arial" w:hAnsi="Arial"/>
          <w:color w:val="EC7D31"/>
          <w:sz w:val="20"/>
        </w:rPr>
      </w:pPr>
      <w:r>
        <w:rPr>
          <w:color w:val="231F20"/>
          <w:sz w:val="18"/>
        </w:rPr>
        <w:t>The distribution and sale of medicines are carried out in accordance with the applicable provisions of pharmaceutical law, by the Supply Chain Department, directly to wholesalers.</w:t>
      </w:r>
    </w:p>
    <w:p w14:paraId="502928EB" w14:textId="77777777" w:rsidR="00E1198C" w:rsidRDefault="00000000">
      <w:pPr>
        <w:pStyle w:val="Tekstpodstawowy"/>
        <w:spacing w:before="125" w:line="273" w:lineRule="auto"/>
        <w:ind w:left="1230" w:right="477" w:hanging="12"/>
        <w:jc w:val="both"/>
      </w:pPr>
      <w:r>
        <w:rPr>
          <w:color w:val="231F20"/>
        </w:rPr>
        <w:t>Effective management of intangible assets constitutes a key element of the Company’s strategy, supporting its competitiveness, growth, and long-term value. Investments in human capital, optimization of internal processes, and development of stakeholder relations enable the Company to maintain a strong market position and dynamic growth in a changing business environment.</w:t>
      </w:r>
    </w:p>
    <w:p w14:paraId="5613AA38" w14:textId="77777777" w:rsidR="00E1198C" w:rsidRDefault="00000000">
      <w:pPr>
        <w:pStyle w:val="Nagwek5"/>
        <w:spacing w:before="218"/>
        <w:jc w:val="both"/>
      </w:pPr>
      <w:r>
        <w:rPr>
          <w:color w:val="F07D00"/>
        </w:rPr>
        <w:t>Dependence of the business model on key intangible assets</w:t>
      </w:r>
    </w:p>
    <w:p w14:paraId="4B7600EF" w14:textId="77777777" w:rsidR="00E1198C" w:rsidRDefault="00E1198C">
      <w:pPr>
        <w:jc w:val="both"/>
        <w:sectPr w:rsidR="00E1198C">
          <w:pgSz w:w="11900" w:h="16840"/>
          <w:pgMar w:top="820" w:right="320" w:bottom="920" w:left="300" w:header="0" w:footer="726" w:gutter="0"/>
          <w:cols w:space="708"/>
        </w:sectPr>
      </w:pPr>
    </w:p>
    <w:p w14:paraId="090E9B75" w14:textId="77777777" w:rsidR="00E1198C" w:rsidRDefault="00000000">
      <w:pPr>
        <w:pStyle w:val="Tekstpodstawowy"/>
        <w:spacing w:before="61" w:line="276" w:lineRule="auto"/>
        <w:ind w:left="510" w:right="473"/>
        <w:jc w:val="both"/>
      </w:pPr>
      <w:r>
        <w:rPr>
          <w:color w:val="231F20"/>
        </w:rPr>
        <w:lastRenderedPageBreak/>
        <w:t>The business model of the Company is also based on the strategic use of key intangible assets. Human resources, such as the team’s experience and expertise, enable the Company to adapt to dynamic market changes and implement innovative solutions. Whereas organizational resources, including efficient processes and structures, enable the optimization of activities and increased operational efficiency. Relationships with stakeholders are essential for maintaining stable and long-term cooperation, which contributes to the Company’s development. These resources are therefore crucial for achieving strategic goals and maintaining the long-term value of the company.</w:t>
      </w:r>
    </w:p>
    <w:p w14:paraId="106E87B0" w14:textId="77777777" w:rsidR="00E1198C" w:rsidRDefault="00000000">
      <w:pPr>
        <w:pStyle w:val="Tekstpodstawowy"/>
        <w:spacing w:before="116"/>
        <w:ind w:left="510"/>
        <w:jc w:val="both"/>
      </w:pPr>
      <w:r>
        <w:rPr>
          <w:color w:val="231F20"/>
        </w:rPr>
        <w:t>The Company’s business model depends on the expertise and experience of its management and key personnel.</w:t>
      </w:r>
    </w:p>
    <w:p w14:paraId="7B58168B" w14:textId="77777777" w:rsidR="00E1198C" w:rsidRDefault="00000000">
      <w:pPr>
        <w:pStyle w:val="Tekstpodstawowy"/>
        <w:spacing w:before="163" w:line="276" w:lineRule="auto"/>
        <w:ind w:left="510" w:right="482"/>
        <w:jc w:val="both"/>
      </w:pPr>
      <w:r>
        <w:rPr>
          <w:color w:val="231F20"/>
        </w:rPr>
        <w:t>The Company’s business model largely depends on its infrastructure, which is why in 2020 the Company opened its own Research and Development Center and expanded its laboratory and manufacturing infrastructure to enhance the efficiency of its processes – both organizationally and financially.</w:t>
      </w:r>
    </w:p>
    <w:p w14:paraId="7D65C7C1" w14:textId="77777777" w:rsidR="00E1198C" w:rsidRDefault="00000000">
      <w:pPr>
        <w:pStyle w:val="Tekstpodstawowy"/>
        <w:spacing w:before="119" w:line="273" w:lineRule="auto"/>
        <w:ind w:left="510" w:right="476"/>
        <w:jc w:val="both"/>
      </w:pPr>
      <w:r>
        <w:rPr>
          <w:color w:val="231F20"/>
        </w:rPr>
        <w:t>The Company’s business model depends on its market relations, in particular on building long-term, high-quality relationships with customers, in accordance with current scientific knowledge, promoting the Company’s medicinal products, and providing the capital market and stakeholders, including institutions financing scientific and research activities, with reliable, transparent information on the implementation of its business strategy and financial situation.</w:t>
      </w:r>
    </w:p>
    <w:p w14:paraId="44AD41A8" w14:textId="77777777" w:rsidR="00E1198C" w:rsidRDefault="00000000">
      <w:pPr>
        <w:pStyle w:val="Nagwek5"/>
        <w:spacing w:before="218"/>
        <w:jc w:val="both"/>
      </w:pPr>
      <w:r>
        <w:rPr>
          <w:color w:val="F07D00"/>
        </w:rPr>
        <w:t>How intangible assets create value for the Company</w:t>
      </w:r>
    </w:p>
    <w:p w14:paraId="45BC9E53" w14:textId="77777777" w:rsidR="00E1198C" w:rsidRDefault="00000000">
      <w:pPr>
        <w:pStyle w:val="Tekstpodstawowy"/>
        <w:spacing w:before="147"/>
        <w:ind w:left="510"/>
        <w:jc w:val="both"/>
      </w:pPr>
      <w:r>
        <w:t>The Company’s intangible assets represent a key source of value creation because:</w:t>
      </w:r>
    </w:p>
    <w:p w14:paraId="7012BD40" w14:textId="77777777" w:rsidR="00E1198C" w:rsidRDefault="00000000">
      <w:pPr>
        <w:pStyle w:val="Tekstpodstawowy"/>
        <w:spacing w:before="151" w:line="276" w:lineRule="auto"/>
        <w:ind w:left="510" w:right="476"/>
        <w:jc w:val="both"/>
      </w:pPr>
      <w:r>
        <w:t>Human resources: the expertise and experience of our employees enable us to implement innovative solutions and adapt to a changing market. With highly specialized personnel who have many years of diverse experience in the industry, the Company is able to efficiently conduct medicine development processes, analyze and monitor market opportunities, and introduce new products. This directly contributes to increased product competitiveness, improved service quality, and greater satisfaction among customers and stakeholders of the Company.</w:t>
      </w:r>
    </w:p>
    <w:p w14:paraId="5E296F52" w14:textId="0D4C9DB2" w:rsidR="00E1198C" w:rsidRDefault="00000000" w:rsidP="00C241D1">
      <w:pPr>
        <w:pStyle w:val="Tekstpodstawowy"/>
        <w:spacing w:before="121" w:line="283" w:lineRule="auto"/>
        <w:ind w:left="510" w:right="477"/>
        <w:jc w:val="both"/>
      </w:pPr>
      <w:r>
        <w:t>Organizational resources: The current organizational structure is the result of a comprehensive review of the Company’s business activities conducted over the years. With the creation of specialized macrostructures, it introduces significant optimization of activities, transparency of processes, and, as a result, lower operating costs and streamlined internal processes. With support from automated systems and procedures that streamline project management, the Company is systematically improving its efficiency and optimizing its profitability, which supports further growth and operational stability.</w:t>
      </w:r>
    </w:p>
    <w:p w14:paraId="76A08144" w14:textId="77777777" w:rsidR="00E1198C" w:rsidRDefault="00000000">
      <w:pPr>
        <w:pStyle w:val="Tekstpodstawowy"/>
        <w:spacing w:before="122" w:line="276" w:lineRule="auto"/>
        <w:ind w:left="510" w:right="479"/>
        <w:jc w:val="both"/>
      </w:pPr>
      <w:r>
        <w:t>Relational resources: long-term relationships with stakeholders, including customers, partners, and suppliers, serve as the foundation for stable revenues and sustainable growth. Thanks to the trust of its customers and suppliers, the Company can increase its sales efficiency. Good relations with capital market entities increase the Company's trustworthiness, which contributes to long-term financial stability.</w:t>
      </w:r>
    </w:p>
    <w:p w14:paraId="068BFDCD" w14:textId="77777777" w:rsidR="00E1198C" w:rsidRDefault="00000000">
      <w:pPr>
        <w:pStyle w:val="Tekstpodstawowy"/>
        <w:spacing w:before="120"/>
        <w:ind w:left="510"/>
        <w:jc w:val="both"/>
      </w:pPr>
      <w:r>
        <w:t>All these intangible assets together create value, enabling the Company to build a strong position on the Polish and foreign markets.</w:t>
      </w:r>
    </w:p>
    <w:p w14:paraId="43944AC2" w14:textId="77777777" w:rsidR="00E1198C" w:rsidRDefault="00E1198C">
      <w:pPr>
        <w:pStyle w:val="Tekstpodstawowy"/>
        <w:spacing w:before="55"/>
      </w:pPr>
    </w:p>
    <w:p w14:paraId="2B04D18A" w14:textId="77777777" w:rsidR="00E1198C" w:rsidRDefault="00000000">
      <w:pPr>
        <w:pStyle w:val="Akapitzlist"/>
        <w:numPr>
          <w:ilvl w:val="1"/>
          <w:numId w:val="43"/>
        </w:numPr>
        <w:tabs>
          <w:tab w:val="left" w:pos="1088"/>
        </w:tabs>
        <w:ind w:hanging="578"/>
        <w:rPr>
          <w:sz w:val="18"/>
        </w:rPr>
      </w:pPr>
      <w:r>
        <w:rPr>
          <w:color w:val="F07D00"/>
          <w:sz w:val="18"/>
        </w:rPr>
        <w:t>Employment</w:t>
      </w:r>
    </w:p>
    <w:p w14:paraId="72E76589" w14:textId="77777777" w:rsidR="00E1198C" w:rsidRDefault="00E1198C">
      <w:pPr>
        <w:pStyle w:val="Tekstpodstawowy"/>
        <w:spacing w:before="135"/>
      </w:pPr>
    </w:p>
    <w:p w14:paraId="322F20C5" w14:textId="77777777" w:rsidR="00E1198C" w:rsidRDefault="00000000">
      <w:pPr>
        <w:pStyle w:val="Tekstpodstawowy"/>
        <w:ind w:left="510"/>
        <w:jc w:val="both"/>
      </w:pPr>
      <w:r>
        <w:t>As at December 31, 2024, the Company employed 558 employees, converted into 556,13 FTEs.</w:t>
      </w:r>
    </w:p>
    <w:p w14:paraId="550903E6" w14:textId="77777777" w:rsidR="00E1198C" w:rsidRDefault="00000000">
      <w:pPr>
        <w:pStyle w:val="Tekstpodstawowy"/>
        <w:spacing w:before="174" w:line="259" w:lineRule="auto"/>
        <w:ind w:left="510" w:right="480"/>
        <w:jc w:val="both"/>
      </w:pPr>
      <w:r>
        <w:t>The table below presents the information about the average employment in the Company (by profession group) in 2024 and 2023 by nominal number of employees:</w:t>
      </w:r>
    </w:p>
    <w:p w14:paraId="55E782B1" w14:textId="77777777" w:rsidR="00E1198C" w:rsidRDefault="00E1198C">
      <w:pPr>
        <w:pStyle w:val="Tekstpodstawowy"/>
        <w:rPr>
          <w:sz w:val="20"/>
        </w:rPr>
      </w:pPr>
    </w:p>
    <w:p w14:paraId="2D8DAEF9" w14:textId="77777777" w:rsidR="00E1198C" w:rsidRDefault="00000000">
      <w:pPr>
        <w:pStyle w:val="Tekstpodstawowy"/>
        <w:spacing w:before="71"/>
        <w:rPr>
          <w:sz w:val="20"/>
        </w:rPr>
      </w:pPr>
      <w:r>
        <w:rPr>
          <w:noProof/>
        </w:rPr>
        <mc:AlternateContent>
          <mc:Choice Requires="wpg">
            <w:drawing>
              <wp:anchor distT="0" distB="0" distL="0" distR="0" simplePos="0" relativeHeight="251664896" behindDoc="1" locked="0" layoutInCell="1" allowOverlap="1" wp14:anchorId="2A46DEE3" wp14:editId="24E6F86D">
                <wp:simplePos x="0" y="0"/>
                <wp:positionH relativeFrom="page">
                  <wp:posOffset>515620</wp:posOffset>
                </wp:positionH>
                <wp:positionV relativeFrom="paragraph">
                  <wp:posOffset>210820</wp:posOffset>
                </wp:positionV>
                <wp:extent cx="6530975" cy="1178560"/>
                <wp:effectExtent l="0" t="0" r="3175" b="2540"/>
                <wp:wrapTopAndBottom/>
                <wp:docPr id="81"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30975" cy="1178560"/>
                          <a:chOff x="0" y="0"/>
                          <a:chExt cx="6531379" cy="1179078"/>
                        </a:xfrm>
                      </wpg:grpSpPr>
                      <pic:pic xmlns:pic="http://schemas.openxmlformats.org/drawingml/2006/picture">
                        <pic:nvPicPr>
                          <pic:cNvPr id="82" name="Image 82"/>
                          <pic:cNvPicPr/>
                        </pic:nvPicPr>
                        <pic:blipFill>
                          <a:blip r:embed="rId23" cstate="print"/>
                          <a:stretch>
                            <a:fillRect/>
                          </a:stretch>
                        </pic:blipFill>
                        <pic:spPr>
                          <a:xfrm>
                            <a:off x="0" y="0"/>
                            <a:ext cx="6531379" cy="1179078"/>
                          </a:xfrm>
                          <a:prstGeom prst="rect">
                            <a:avLst/>
                          </a:prstGeom>
                        </pic:spPr>
                      </pic:pic>
                      <wps:wsp>
                        <wps:cNvPr id="83" name="Textbox 83"/>
                        <wps:cNvSpPr txBox="1"/>
                        <wps:spPr>
                          <a:xfrm>
                            <a:off x="42875" y="90216"/>
                            <a:ext cx="611505" cy="114935"/>
                          </a:xfrm>
                          <a:prstGeom prst="rect">
                            <a:avLst/>
                          </a:prstGeom>
                        </wps:spPr>
                        <wps:txbx>
                          <w:txbxContent>
                            <w:p w14:paraId="2A67B0A1" w14:textId="77777777" w:rsidR="00E1198C" w:rsidRDefault="00000000">
                              <w:pPr>
                                <w:spacing w:line="180" w:lineRule="exact"/>
                                <w:rPr>
                                  <w:b/>
                                  <w:sz w:val="18"/>
                                </w:rPr>
                              </w:pPr>
                              <w:r>
                                <w:rPr>
                                  <w:b/>
                                  <w:color w:val="252525"/>
                                  <w:sz w:val="18"/>
                                </w:rPr>
                                <w:t>Employment</w:t>
                              </w:r>
                            </w:p>
                          </w:txbxContent>
                        </wps:txbx>
                        <wps:bodyPr wrap="square" lIns="0" tIns="0" rIns="0" bIns="0" rtlCol="0">
                          <a:noAutofit/>
                        </wps:bodyPr>
                      </wps:wsp>
                      <wps:wsp>
                        <wps:cNvPr id="84" name="Textbox 84"/>
                        <wps:cNvSpPr txBox="1"/>
                        <wps:spPr>
                          <a:xfrm>
                            <a:off x="3766241" y="9984"/>
                            <a:ext cx="887773" cy="252567"/>
                          </a:xfrm>
                          <a:prstGeom prst="rect">
                            <a:avLst/>
                          </a:prstGeom>
                        </wps:spPr>
                        <wps:txbx>
                          <w:txbxContent>
                            <w:p w14:paraId="1BBB78AD" w14:textId="77777777" w:rsidR="00E1198C" w:rsidRDefault="00000000" w:rsidP="00720E33">
                              <w:pPr>
                                <w:spacing w:line="180" w:lineRule="exact"/>
                                <w:jc w:val="center"/>
                                <w:rPr>
                                  <w:b/>
                                  <w:sz w:val="18"/>
                                </w:rPr>
                              </w:pPr>
                              <w:r>
                                <w:rPr>
                                  <w:b/>
                                  <w:color w:val="252525"/>
                                  <w:sz w:val="18"/>
                                </w:rPr>
                                <w:t>For the year ended</w:t>
                              </w:r>
                            </w:p>
                          </w:txbxContent>
                        </wps:txbx>
                        <wps:bodyPr wrap="square" lIns="0" tIns="0" rIns="0" bIns="0" rtlCol="0">
                          <a:noAutofit/>
                        </wps:bodyPr>
                      </wps:wsp>
                      <wps:wsp>
                        <wps:cNvPr id="85" name="Textbox 85"/>
                        <wps:cNvSpPr txBox="1"/>
                        <wps:spPr>
                          <a:xfrm>
                            <a:off x="5416614" y="9984"/>
                            <a:ext cx="767080" cy="270797"/>
                          </a:xfrm>
                          <a:prstGeom prst="rect">
                            <a:avLst/>
                          </a:prstGeom>
                        </wps:spPr>
                        <wps:txbx>
                          <w:txbxContent>
                            <w:p w14:paraId="69C75887" w14:textId="77777777" w:rsidR="00E1198C" w:rsidRDefault="00000000" w:rsidP="00720E33">
                              <w:pPr>
                                <w:spacing w:line="180" w:lineRule="exact"/>
                                <w:jc w:val="center"/>
                                <w:rPr>
                                  <w:b/>
                                  <w:sz w:val="18"/>
                                </w:rPr>
                              </w:pPr>
                              <w:r>
                                <w:rPr>
                                  <w:b/>
                                  <w:color w:val="252525"/>
                                  <w:sz w:val="18"/>
                                </w:rPr>
                                <w:t>For the year ended</w:t>
                              </w:r>
                            </w:p>
                          </w:txbxContent>
                        </wps:txbx>
                        <wps:bodyPr wrap="square" lIns="0" tIns="0" rIns="0" bIns="0" rtlCol="0">
                          <a:noAutofit/>
                        </wps:bodyPr>
                      </wps:wsp>
                      <wps:wsp>
                        <wps:cNvPr id="86" name="Textbox 86"/>
                        <wps:cNvSpPr txBox="1"/>
                        <wps:spPr>
                          <a:xfrm>
                            <a:off x="3887385" y="326055"/>
                            <a:ext cx="760730" cy="114935"/>
                          </a:xfrm>
                          <a:prstGeom prst="rect">
                            <a:avLst/>
                          </a:prstGeom>
                        </wps:spPr>
                        <wps:txbx>
                          <w:txbxContent>
                            <w:p w14:paraId="45E86640" w14:textId="77777777" w:rsidR="00E1198C" w:rsidRDefault="00000000">
                              <w:pPr>
                                <w:spacing w:line="180" w:lineRule="exact"/>
                                <w:rPr>
                                  <w:b/>
                                  <w:sz w:val="18"/>
                                </w:rPr>
                              </w:pPr>
                              <w:r>
                                <w:rPr>
                                  <w:b/>
                                  <w:color w:val="252525"/>
                                  <w:sz w:val="18"/>
                                </w:rPr>
                                <w:t>12/31/2024</w:t>
                              </w:r>
                            </w:p>
                          </w:txbxContent>
                        </wps:txbx>
                        <wps:bodyPr wrap="square" lIns="0" tIns="0" rIns="0" bIns="0" rtlCol="0">
                          <a:noAutofit/>
                        </wps:bodyPr>
                      </wps:wsp>
                      <wps:wsp>
                        <wps:cNvPr id="87" name="Textbox 87"/>
                        <wps:cNvSpPr txBox="1"/>
                        <wps:spPr>
                          <a:xfrm>
                            <a:off x="5416614" y="326055"/>
                            <a:ext cx="760730" cy="114935"/>
                          </a:xfrm>
                          <a:prstGeom prst="rect">
                            <a:avLst/>
                          </a:prstGeom>
                        </wps:spPr>
                        <wps:txbx>
                          <w:txbxContent>
                            <w:p w14:paraId="5A83A757" w14:textId="77777777" w:rsidR="00E1198C" w:rsidRDefault="00000000">
                              <w:pPr>
                                <w:spacing w:line="180" w:lineRule="exact"/>
                                <w:rPr>
                                  <w:b/>
                                  <w:sz w:val="18"/>
                                </w:rPr>
                              </w:pPr>
                              <w:r>
                                <w:rPr>
                                  <w:b/>
                                  <w:color w:val="252525"/>
                                  <w:sz w:val="18"/>
                                </w:rPr>
                                <w:t>12/31/2023</w:t>
                              </w:r>
                            </w:p>
                          </w:txbxContent>
                        </wps:txbx>
                        <wps:bodyPr wrap="square" lIns="0" tIns="0" rIns="0" bIns="0" rtlCol="0">
                          <a:noAutofit/>
                        </wps:bodyPr>
                      </wps:wsp>
                      <wps:wsp>
                        <wps:cNvPr id="88" name="Textbox 88"/>
                        <wps:cNvSpPr txBox="1"/>
                        <wps:spPr>
                          <a:xfrm>
                            <a:off x="157210" y="619044"/>
                            <a:ext cx="1372920" cy="550545"/>
                          </a:xfrm>
                          <a:prstGeom prst="rect">
                            <a:avLst/>
                          </a:prstGeom>
                        </wps:spPr>
                        <wps:txbx>
                          <w:txbxContent>
                            <w:p w14:paraId="2BBD5099" w14:textId="77777777" w:rsidR="00E1198C" w:rsidRDefault="00000000">
                              <w:pPr>
                                <w:spacing w:line="189" w:lineRule="exact"/>
                                <w:rPr>
                                  <w:sz w:val="18"/>
                                </w:rPr>
                              </w:pPr>
                              <w:r>
                                <w:rPr>
                                  <w:color w:val="252525"/>
                                  <w:sz w:val="18"/>
                                </w:rPr>
                                <w:t>Management Board</w:t>
                              </w:r>
                            </w:p>
                            <w:p w14:paraId="41986C58" w14:textId="77777777" w:rsidR="00720E33" w:rsidRDefault="00000000">
                              <w:pPr>
                                <w:spacing w:before="4" w:line="244" w:lineRule="auto"/>
                                <w:rPr>
                                  <w:color w:val="252525"/>
                                  <w:sz w:val="18"/>
                                </w:rPr>
                              </w:pPr>
                              <w:r>
                                <w:rPr>
                                  <w:color w:val="252525"/>
                                  <w:sz w:val="18"/>
                                </w:rPr>
                                <w:t>White-collar workers</w:t>
                              </w:r>
                            </w:p>
                            <w:p w14:paraId="2D01AD17" w14:textId="77777777" w:rsidR="00720E33" w:rsidRDefault="00000000">
                              <w:pPr>
                                <w:spacing w:before="4" w:line="244" w:lineRule="auto"/>
                                <w:rPr>
                                  <w:color w:val="252525"/>
                                  <w:sz w:val="18"/>
                                </w:rPr>
                              </w:pPr>
                              <w:r>
                                <w:rPr>
                                  <w:color w:val="252525"/>
                                  <w:sz w:val="18"/>
                                </w:rPr>
                                <w:t>Blue-collar workers</w:t>
                              </w:r>
                            </w:p>
                            <w:p w14:paraId="18C9D8C6" w14:textId="6CCA6E98" w:rsidR="00E1198C" w:rsidRDefault="00000000">
                              <w:pPr>
                                <w:spacing w:before="4" w:line="244" w:lineRule="auto"/>
                                <w:rPr>
                                  <w:sz w:val="18"/>
                                </w:rPr>
                              </w:pPr>
                              <w:r>
                                <w:rPr>
                                  <w:color w:val="252525"/>
                                  <w:sz w:val="18"/>
                                </w:rPr>
                                <w:t>Total employment</w:t>
                              </w:r>
                            </w:p>
                          </w:txbxContent>
                        </wps:txbx>
                        <wps:bodyPr wrap="square" lIns="0" tIns="0" rIns="0" bIns="0" rtlCol="0">
                          <a:noAutofit/>
                        </wps:bodyPr>
                      </wps:wsp>
                      <wps:wsp>
                        <wps:cNvPr id="89" name="Textbox 89"/>
                        <wps:cNvSpPr txBox="1"/>
                        <wps:spPr>
                          <a:xfrm>
                            <a:off x="4844939" y="614483"/>
                            <a:ext cx="186690" cy="550545"/>
                          </a:xfrm>
                          <a:prstGeom prst="rect">
                            <a:avLst/>
                          </a:prstGeom>
                        </wps:spPr>
                        <wps:txbx>
                          <w:txbxContent>
                            <w:p w14:paraId="66E0DEB3" w14:textId="77777777" w:rsidR="00E1198C" w:rsidRDefault="00000000">
                              <w:pPr>
                                <w:spacing w:line="191" w:lineRule="exact"/>
                                <w:ind w:left="180"/>
                                <w:rPr>
                                  <w:sz w:val="18"/>
                                </w:rPr>
                              </w:pPr>
                              <w:r>
                                <w:rPr>
                                  <w:color w:val="252525"/>
                                  <w:sz w:val="18"/>
                                </w:rPr>
                                <w:t>1</w:t>
                              </w:r>
                            </w:p>
                            <w:p w14:paraId="5BCC745C" w14:textId="77777777" w:rsidR="00E1198C" w:rsidRDefault="00000000">
                              <w:pPr>
                                <w:spacing w:before="16"/>
                                <w:rPr>
                                  <w:sz w:val="18"/>
                                </w:rPr>
                              </w:pPr>
                              <w:r>
                                <w:rPr>
                                  <w:color w:val="252525"/>
                                  <w:sz w:val="18"/>
                                </w:rPr>
                                <w:t>431</w:t>
                              </w:r>
                            </w:p>
                            <w:p w14:paraId="4D98C683" w14:textId="77777777" w:rsidR="00E1198C" w:rsidRDefault="00000000">
                              <w:pPr>
                                <w:spacing w:before="6"/>
                                <w:rPr>
                                  <w:sz w:val="18"/>
                                </w:rPr>
                              </w:pPr>
                              <w:r>
                                <w:rPr>
                                  <w:color w:val="252525"/>
                                  <w:sz w:val="18"/>
                                </w:rPr>
                                <w:t>126</w:t>
                              </w:r>
                            </w:p>
                            <w:p w14:paraId="7904684D" w14:textId="77777777" w:rsidR="00E1198C" w:rsidRDefault="00000000">
                              <w:pPr>
                                <w:spacing w:before="5" w:line="209" w:lineRule="exact"/>
                                <w:rPr>
                                  <w:sz w:val="18"/>
                                </w:rPr>
                              </w:pPr>
                              <w:r>
                                <w:rPr>
                                  <w:color w:val="252525"/>
                                  <w:sz w:val="18"/>
                                </w:rPr>
                                <w:t>558</w:t>
                              </w:r>
                            </w:p>
                          </w:txbxContent>
                        </wps:txbx>
                        <wps:bodyPr wrap="square" lIns="0" tIns="0" rIns="0" bIns="0" rtlCol="0">
                          <a:noAutofit/>
                        </wps:bodyPr>
                      </wps:wsp>
                      <wps:wsp>
                        <wps:cNvPr id="90" name="Textbox 90"/>
                        <wps:cNvSpPr txBox="1"/>
                        <wps:spPr>
                          <a:xfrm>
                            <a:off x="6309854" y="614483"/>
                            <a:ext cx="192405" cy="550545"/>
                          </a:xfrm>
                          <a:prstGeom prst="rect">
                            <a:avLst/>
                          </a:prstGeom>
                        </wps:spPr>
                        <wps:txbx>
                          <w:txbxContent>
                            <w:p w14:paraId="751355F4" w14:textId="77777777" w:rsidR="00E1198C" w:rsidRDefault="00000000">
                              <w:pPr>
                                <w:spacing w:line="191" w:lineRule="exact"/>
                                <w:ind w:left="191"/>
                                <w:rPr>
                                  <w:sz w:val="18"/>
                                </w:rPr>
                              </w:pPr>
                              <w:r>
                                <w:rPr>
                                  <w:color w:val="252525"/>
                                  <w:sz w:val="18"/>
                                </w:rPr>
                                <w:t>1</w:t>
                              </w:r>
                            </w:p>
                            <w:p w14:paraId="01D56795" w14:textId="77777777" w:rsidR="00E1198C" w:rsidRDefault="00000000">
                              <w:pPr>
                                <w:spacing w:before="16"/>
                                <w:rPr>
                                  <w:sz w:val="18"/>
                                </w:rPr>
                              </w:pPr>
                              <w:r>
                                <w:rPr>
                                  <w:color w:val="252525"/>
                                  <w:sz w:val="18"/>
                                </w:rPr>
                                <w:t>392</w:t>
                              </w:r>
                            </w:p>
                            <w:p w14:paraId="72F36F01" w14:textId="77777777" w:rsidR="00E1198C" w:rsidRDefault="00000000">
                              <w:pPr>
                                <w:spacing w:before="6"/>
                                <w:rPr>
                                  <w:sz w:val="18"/>
                                </w:rPr>
                              </w:pPr>
                              <w:r>
                                <w:rPr>
                                  <w:color w:val="252525"/>
                                  <w:sz w:val="18"/>
                                </w:rPr>
                                <w:t>122</w:t>
                              </w:r>
                            </w:p>
                            <w:p w14:paraId="7FF67C30" w14:textId="77777777" w:rsidR="00E1198C" w:rsidRDefault="00000000">
                              <w:pPr>
                                <w:spacing w:before="5" w:line="209" w:lineRule="exact"/>
                                <w:rPr>
                                  <w:sz w:val="18"/>
                                </w:rPr>
                              </w:pPr>
                              <w:r>
                                <w:rPr>
                                  <w:color w:val="252525"/>
                                  <w:sz w:val="18"/>
                                </w:rPr>
                                <w:t>515</w:t>
                              </w:r>
                            </w:p>
                          </w:txbxContent>
                        </wps:txbx>
                        <wps:bodyPr wrap="square" lIns="0" tIns="0" rIns="0" bIns="0" rtlCol="0">
                          <a:noAutofit/>
                        </wps:bodyPr>
                      </wps:wsp>
                    </wpg:wgp>
                  </a:graphicData>
                </a:graphic>
              </wp:anchor>
            </w:drawing>
          </mc:Choice>
          <mc:Fallback>
            <w:pict>
              <v:group w14:anchorId="2A46DEE3" id="Group 81" o:spid="_x0000_s1065" style="position:absolute;margin-left:40.6pt;margin-top:16.6pt;width:514.25pt;height:92.8pt;z-index:-251651584;mso-wrap-distance-left:0;mso-wrap-distance-right:0;mso-position-horizontal-relative:page;mso-position-vertical-relative:text" coordsize="65313,1179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">
                <v:shape id="Image 82" o:spid="_x0000_s1066" type="#_x0000_t75" style="position:absolute;width:65313;height:117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">
                  <v:imagedata r:id="rId24" o:title=""/>
                </v:shape>
                <v:shape id="Textbox 83" o:spid="_x0000_s1067" type="#_x0000_t202" style="position:absolute;left:428;top:902;width:6115;height:1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" filled="f" stroked="f">
                  <v:textbox inset="0,0,0,0">
                    <w:txbxContent>
                      <w:p w14:paraId="2A67B0A1" w14:textId="77777777" w:rsidR="00E1198C" w:rsidRDefault="00000000">
                        <w:pPr>
                          <w:spacing w:line="180" w:lineRule="exact"/>
                          <w:rPr>
                            <w:b/>
                            <w:sz w:val="18"/>
                          </w:rPr>
                        </w:pPr>
                        <w:r>
                          <w:rPr>
                            <w:b/>
                            <w:color w:val="252525"/>
                            <w:sz w:val="18"/>
                          </w:rPr>
                          <w:t>Employment</w:t>
                        </w:r>
                      </w:p>
                    </w:txbxContent>
                  </v:textbox>
                </v:shape>
                <v:shape id="Textbox 84" o:spid="_x0000_s1068" type="#_x0000_t202" style="position:absolute;left:37662;top:99;width:8878;height:25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" filled="f" stroked="f">
                  <v:textbox inset="0,0,0,0">
                    <w:txbxContent>
                      <w:p w14:paraId="1BBB78AD" w14:textId="77777777" w:rsidR="00E1198C" w:rsidRDefault="00000000" w:rsidP="00720E33">
                        <w:pPr>
                          <w:spacing w:line="180" w:lineRule="exact"/>
                          <w:jc w:val="center"/>
                          <w:rPr>
                            <w:b/>
                            <w:sz w:val="18"/>
                          </w:rPr>
                        </w:pPr>
                        <w:r>
                          <w:rPr>
                            <w:b/>
                            <w:color w:val="252525"/>
                            <w:sz w:val="18"/>
                          </w:rPr>
                          <w:t>For the year ended</w:t>
                        </w:r>
                      </w:p>
                    </w:txbxContent>
                  </v:textbox>
                </v:shape>
                <v:shape id="Textbox 85" o:spid="_x0000_s1069" type="#_x0000_t202" style="position:absolute;left:54166;top:99;width:7670;height:2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" filled="f" stroked="f">
                  <v:textbox inset="0,0,0,0">
                    <w:txbxContent>
                      <w:p w14:paraId="69C75887" w14:textId="77777777" w:rsidR="00E1198C" w:rsidRDefault="00000000" w:rsidP="00720E33">
                        <w:pPr>
                          <w:spacing w:line="180" w:lineRule="exact"/>
                          <w:jc w:val="center"/>
                          <w:rPr>
                            <w:b/>
                            <w:sz w:val="18"/>
                          </w:rPr>
                        </w:pPr>
                        <w:r>
                          <w:rPr>
                            <w:b/>
                            <w:color w:val="252525"/>
                            <w:sz w:val="18"/>
                          </w:rPr>
                          <w:t>For the year ended</w:t>
                        </w:r>
                      </w:p>
                    </w:txbxContent>
                  </v:textbox>
                </v:shape>
                <v:shape id="Textbox 86" o:spid="_x0000_s1070" type="#_x0000_t202" style="position:absolute;left:38873;top:3260;width:7608;height:1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" filled="f" stroked="f">
                  <v:textbox inset="0,0,0,0">
                    <w:txbxContent>
                      <w:p w14:paraId="45E86640" w14:textId="77777777" w:rsidR="00E1198C" w:rsidRDefault="00000000">
                        <w:pPr>
                          <w:spacing w:line="180" w:lineRule="exact"/>
                          <w:rPr>
                            <w:b/>
                            <w:sz w:val="18"/>
                          </w:rPr>
                        </w:pPr>
                        <w:r>
                          <w:rPr>
                            <w:b/>
                            <w:color w:val="252525"/>
                            <w:sz w:val="18"/>
                          </w:rPr>
                          <w:t>12/31/2024</w:t>
                        </w:r>
                      </w:p>
                    </w:txbxContent>
                  </v:textbox>
                </v:shape>
                <v:shape id="Textbox 87" o:spid="_x0000_s1071" type="#_x0000_t202" style="position:absolute;left:54166;top:3260;width:7607;height:1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" filled="f" stroked="f">
                  <v:textbox inset="0,0,0,0">
                    <w:txbxContent>
                      <w:p w14:paraId="5A83A757" w14:textId="77777777" w:rsidR="00E1198C" w:rsidRDefault="00000000">
                        <w:pPr>
                          <w:spacing w:line="180" w:lineRule="exact"/>
                          <w:rPr>
                            <w:b/>
                            <w:sz w:val="18"/>
                          </w:rPr>
                        </w:pPr>
                        <w:r>
                          <w:rPr>
                            <w:b/>
                            <w:color w:val="252525"/>
                            <w:sz w:val="18"/>
                          </w:rPr>
                          <w:t>12/31/2023</w:t>
                        </w:r>
                      </w:p>
                    </w:txbxContent>
                  </v:textbox>
                </v:shape>
                <v:shape id="Textbox 88" o:spid="_x0000_s1072" type="#_x0000_t202" style="position:absolute;left:1572;top:6190;width:13729;height:5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" filled="f" stroked="f">
                  <v:textbox inset="0,0,0,0">
                    <w:txbxContent>
                      <w:p w14:paraId="2BBD5099" w14:textId="77777777" w:rsidR="00E1198C" w:rsidRDefault="00000000">
                        <w:pPr>
                          <w:spacing w:line="189" w:lineRule="exact"/>
                          <w:rPr>
                            <w:sz w:val="18"/>
                          </w:rPr>
                        </w:pPr>
                        <w:r>
                          <w:rPr>
                            <w:color w:val="252525"/>
                            <w:sz w:val="18"/>
                          </w:rPr>
                          <w:t>Management Board</w:t>
                        </w:r>
                      </w:p>
                      <w:p w14:paraId="41986C58" w14:textId="77777777" w:rsidR="00720E33" w:rsidRDefault="00000000">
                        <w:pPr>
                          <w:spacing w:before="4" w:line="244" w:lineRule="auto"/>
                          <w:rPr>
                            <w:color w:val="252525"/>
                            <w:sz w:val="18"/>
                          </w:rPr>
                        </w:pPr>
                        <w:r>
                          <w:rPr>
                            <w:color w:val="252525"/>
                            <w:sz w:val="18"/>
                          </w:rPr>
                          <w:t>White-collar workers</w:t>
                        </w:r>
                      </w:p>
                      <w:p w14:paraId="2D01AD17" w14:textId="77777777" w:rsidR="00720E33" w:rsidRDefault="00000000">
                        <w:pPr>
                          <w:spacing w:before="4" w:line="244" w:lineRule="auto"/>
                          <w:rPr>
                            <w:color w:val="252525"/>
                            <w:sz w:val="18"/>
                          </w:rPr>
                        </w:pPr>
                        <w:r>
                          <w:rPr>
                            <w:color w:val="252525"/>
                            <w:sz w:val="18"/>
                          </w:rPr>
                          <w:t>Blue-collar workers</w:t>
                        </w:r>
                      </w:p>
                      <w:p w14:paraId="18C9D8C6" w14:textId="6CCA6E98" w:rsidR="00E1198C" w:rsidRDefault="00000000">
                        <w:pPr>
                          <w:spacing w:before="4" w:line="244" w:lineRule="auto"/>
                          <w:rPr>
                            <w:sz w:val="18"/>
                          </w:rPr>
                        </w:pPr>
                        <w:r>
                          <w:rPr>
                            <w:color w:val="252525"/>
                            <w:sz w:val="18"/>
                          </w:rPr>
                          <w:t>Total employment</w:t>
                        </w:r>
                      </w:p>
                    </w:txbxContent>
                  </v:textbox>
                </v:shape>
                <v:shape id="Textbox 89" o:spid="_x0000_s1073" type="#_x0000_t202" style="position:absolute;left:48449;top:6144;width:1867;height:5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" filled="f" stroked="f">
                  <v:textbox inset="0,0,0,0">
                    <w:txbxContent>
                      <w:p w14:paraId="66E0DEB3" w14:textId="77777777" w:rsidR="00E1198C" w:rsidRDefault="00000000">
                        <w:pPr>
                          <w:spacing w:line="191" w:lineRule="exact"/>
                          <w:ind w:left="180"/>
                          <w:rPr>
                            <w:sz w:val="18"/>
                          </w:rPr>
                        </w:pPr>
                        <w:r>
                          <w:rPr>
                            <w:color w:val="252525"/>
                            <w:sz w:val="18"/>
                          </w:rPr>
                          <w:t>1</w:t>
                        </w:r>
                      </w:p>
                      <w:p w14:paraId="5BCC745C" w14:textId="77777777" w:rsidR="00E1198C" w:rsidRDefault="00000000">
                        <w:pPr>
                          <w:spacing w:before="16"/>
                          <w:rPr>
                            <w:sz w:val="18"/>
                          </w:rPr>
                        </w:pPr>
                        <w:r>
                          <w:rPr>
                            <w:color w:val="252525"/>
                            <w:sz w:val="18"/>
                          </w:rPr>
                          <w:t>431</w:t>
                        </w:r>
                      </w:p>
                      <w:p w14:paraId="4D98C683" w14:textId="77777777" w:rsidR="00E1198C" w:rsidRDefault="00000000">
                        <w:pPr>
                          <w:spacing w:before="6"/>
                          <w:rPr>
                            <w:sz w:val="18"/>
                          </w:rPr>
                        </w:pPr>
                        <w:r>
                          <w:rPr>
                            <w:color w:val="252525"/>
                            <w:sz w:val="18"/>
                          </w:rPr>
                          <w:t>126</w:t>
                        </w:r>
                      </w:p>
                      <w:p w14:paraId="7904684D" w14:textId="77777777" w:rsidR="00E1198C" w:rsidRDefault="00000000">
                        <w:pPr>
                          <w:spacing w:before="5" w:line="209" w:lineRule="exact"/>
                          <w:rPr>
                            <w:sz w:val="18"/>
                          </w:rPr>
                        </w:pPr>
                        <w:r>
                          <w:rPr>
                            <w:color w:val="252525"/>
                            <w:sz w:val="18"/>
                          </w:rPr>
                          <w:t>558</w:t>
                        </w:r>
                      </w:p>
                    </w:txbxContent>
                  </v:textbox>
                </v:shape>
                <v:shape id="Textbox 90" o:spid="_x0000_s1074" type="#_x0000_t202" style="position:absolute;left:63098;top:6144;width:1924;height:5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" filled="f" stroked="f">
                  <v:textbox inset="0,0,0,0">
                    <w:txbxContent>
                      <w:p w14:paraId="751355F4" w14:textId="77777777" w:rsidR="00E1198C" w:rsidRDefault="00000000">
                        <w:pPr>
                          <w:spacing w:line="191" w:lineRule="exact"/>
                          <w:ind w:left="191"/>
                          <w:rPr>
                            <w:sz w:val="18"/>
                          </w:rPr>
                        </w:pPr>
                        <w:r>
                          <w:rPr>
                            <w:color w:val="252525"/>
                            <w:sz w:val="18"/>
                          </w:rPr>
                          <w:t>1</w:t>
                        </w:r>
                      </w:p>
                      <w:p w14:paraId="01D56795" w14:textId="77777777" w:rsidR="00E1198C" w:rsidRDefault="00000000">
                        <w:pPr>
                          <w:spacing w:before="16"/>
                          <w:rPr>
                            <w:sz w:val="18"/>
                          </w:rPr>
                        </w:pPr>
                        <w:r>
                          <w:rPr>
                            <w:color w:val="252525"/>
                            <w:sz w:val="18"/>
                          </w:rPr>
                          <w:t>392</w:t>
                        </w:r>
                      </w:p>
                      <w:p w14:paraId="72F36F01" w14:textId="77777777" w:rsidR="00E1198C" w:rsidRDefault="00000000">
                        <w:pPr>
                          <w:spacing w:before="6"/>
                          <w:rPr>
                            <w:sz w:val="18"/>
                          </w:rPr>
                        </w:pPr>
                        <w:r>
                          <w:rPr>
                            <w:color w:val="252525"/>
                            <w:sz w:val="18"/>
                          </w:rPr>
                          <w:t>122</w:t>
                        </w:r>
                      </w:p>
                      <w:p w14:paraId="7FF67C30" w14:textId="77777777" w:rsidR="00E1198C" w:rsidRDefault="00000000">
                        <w:pPr>
                          <w:spacing w:before="5" w:line="209" w:lineRule="exact"/>
                          <w:rPr>
                            <w:sz w:val="18"/>
                          </w:rPr>
                        </w:pPr>
                        <w:r>
                          <w:rPr>
                            <w:color w:val="252525"/>
                            <w:sz w:val="18"/>
                          </w:rPr>
                          <w:t>515</w:t>
                        </w:r>
                      </w:p>
                    </w:txbxContent>
                  </v:textbox>
                </v:shape>
                <w10:wrap type="topAndBottom" anchorx="page"/>
              </v:group>
            </w:pict>
          </mc:Fallback>
        </mc:AlternateContent>
      </w:r>
    </w:p>
    <w:p w14:paraId="2F7E44CC" w14:textId="77777777" w:rsidR="00E1198C" w:rsidRDefault="00E1198C">
      <w:pPr>
        <w:pStyle w:val="Tekstpodstawowy"/>
      </w:pPr>
    </w:p>
    <w:p w14:paraId="1A2224BF" w14:textId="77777777" w:rsidR="00E1198C" w:rsidRDefault="00E1198C">
      <w:pPr>
        <w:pStyle w:val="Tekstpodstawowy"/>
        <w:spacing w:before="55"/>
      </w:pPr>
    </w:p>
    <w:p w14:paraId="2AE876AD" w14:textId="77777777" w:rsidR="00E1198C" w:rsidRDefault="00000000">
      <w:pPr>
        <w:pStyle w:val="Tekstpodstawowy"/>
        <w:spacing w:line="271" w:lineRule="auto"/>
        <w:ind w:left="521" w:right="488"/>
        <w:jc w:val="both"/>
      </w:pPr>
      <w:r>
        <w:t>Individuals performing work for the Company are employed based on contracts of employment. The Company uses employment based on contracts of mandate or specific task contracts in periods of increased demand for specialist services in regard with specific projects.</w:t>
      </w:r>
    </w:p>
    <w:p w14:paraId="09A6D93F" w14:textId="77777777" w:rsidR="00C241D1" w:rsidRDefault="00000000" w:rsidP="00720E33">
      <w:pPr>
        <w:pStyle w:val="Tekstpodstawowy"/>
        <w:spacing w:before="133"/>
        <w:ind w:left="521" w:right="507"/>
        <w:jc w:val="both"/>
      </w:pPr>
      <w:r>
        <w:t>The Company’s President, Maciej Wieczorek, is not employed by the Company under a contract of employment.</w:t>
      </w:r>
    </w:p>
    <w:p w14:paraId="331D82AC" w14:textId="728594B5" w:rsidR="00E1198C" w:rsidRDefault="00000000" w:rsidP="00720E33">
      <w:pPr>
        <w:pStyle w:val="Tekstpodstawowy"/>
        <w:spacing w:before="133"/>
        <w:ind w:left="521" w:right="507"/>
        <w:jc w:val="both"/>
      </w:pPr>
      <w:r>
        <w:t>Bartosz Szałek, Member of the Management Board of the Company, is employed by the Company under a contract of employment.</w:t>
      </w:r>
    </w:p>
    <w:p w14:paraId="0E2AC054" w14:textId="77777777" w:rsidR="00E1198C" w:rsidRDefault="00E1198C">
      <w:pPr>
        <w:spacing w:line="405" w:lineRule="auto"/>
        <w:jc w:val="both"/>
        <w:sectPr w:rsidR="00E1198C">
          <w:pgSz w:w="11900" w:h="16840"/>
          <w:pgMar w:top="820" w:right="320" w:bottom="920" w:left="300" w:header="0" w:footer="726" w:gutter="0"/>
          <w:cols w:space="708"/>
        </w:sectPr>
      </w:pPr>
    </w:p>
    <w:p w14:paraId="192100B4" w14:textId="7A460FD6" w:rsidR="00E1198C" w:rsidRDefault="00000000">
      <w:pPr>
        <w:pStyle w:val="Tekstpodstawowy"/>
        <w:spacing w:before="61"/>
        <w:ind w:left="521"/>
      </w:pPr>
      <w:r>
        <w:lastRenderedPageBreak/>
        <w:t>Małgorzata Stokrocka, Member of the Management Board of the Company (since January 1, 2025), is employed by the Company under a contract of employment.</w:t>
      </w:r>
    </w:p>
    <w:p w14:paraId="2224B6FC" w14:textId="77777777" w:rsidR="00E1198C" w:rsidRDefault="00E1198C">
      <w:pPr>
        <w:pStyle w:val="Tekstpodstawowy"/>
        <w:spacing w:before="56"/>
      </w:pPr>
    </w:p>
    <w:p w14:paraId="758CA0DC" w14:textId="77777777" w:rsidR="00E1198C" w:rsidRDefault="00000000">
      <w:pPr>
        <w:pStyle w:val="Akapitzlist"/>
        <w:numPr>
          <w:ilvl w:val="1"/>
          <w:numId w:val="43"/>
        </w:numPr>
        <w:tabs>
          <w:tab w:val="left" w:pos="1088"/>
        </w:tabs>
        <w:ind w:hanging="578"/>
        <w:rPr>
          <w:sz w:val="18"/>
        </w:rPr>
      </w:pPr>
      <w:r>
        <w:rPr>
          <w:color w:val="F07D00"/>
          <w:sz w:val="18"/>
        </w:rPr>
        <w:t xml:space="preserve">Information about the audit firm </w:t>
      </w:r>
    </w:p>
    <w:p w14:paraId="2F04046B" w14:textId="77777777" w:rsidR="00E1198C" w:rsidRDefault="00E1198C">
      <w:pPr>
        <w:pStyle w:val="Tekstpodstawowy"/>
        <w:spacing w:before="123"/>
      </w:pPr>
    </w:p>
    <w:p w14:paraId="482A574F" w14:textId="77777777" w:rsidR="00E1198C" w:rsidRDefault="00000000">
      <w:pPr>
        <w:pStyle w:val="Tekstpodstawowy"/>
        <w:spacing w:line="283" w:lineRule="auto"/>
        <w:ind w:left="521" w:right="491"/>
        <w:jc w:val="both"/>
      </w:pPr>
      <w:r>
        <w:t xml:space="preserve">The audit of the Company's financial statements for 2024 was entrusted to  Ernst &amp; Young </w:t>
      </w:r>
      <w:proofErr w:type="spellStart"/>
      <w:r>
        <w:t>Audyt</w:t>
      </w:r>
      <w:proofErr w:type="spellEnd"/>
      <w:r>
        <w:t xml:space="preserve"> Polska </w:t>
      </w:r>
      <w:proofErr w:type="spellStart"/>
      <w:r>
        <w:t>spółka</w:t>
      </w:r>
      <w:proofErr w:type="spellEnd"/>
      <w:r>
        <w:t xml:space="preserve"> </w:t>
      </w:r>
      <w:proofErr w:type="spellStart"/>
      <w:r>
        <w:t>komandytowa</w:t>
      </w:r>
      <w:proofErr w:type="spellEnd"/>
      <w:r>
        <w:t>. The audit firm was selected by the Supervisory Board.</w:t>
      </w:r>
    </w:p>
    <w:p w14:paraId="1B6454C2" w14:textId="77777777" w:rsidR="00E1198C" w:rsidRDefault="00000000">
      <w:pPr>
        <w:pStyle w:val="Tekstpodstawowy"/>
        <w:spacing w:before="112" w:line="276" w:lineRule="auto"/>
        <w:ind w:left="521" w:right="489"/>
        <w:jc w:val="both"/>
      </w:pPr>
      <w:r>
        <w:t>Date of conclusion of the agreement with the audit firm: September 1, 2023. The Agreement was concluded for the period required to conduct the audit of the Company's Financial Statements for the fiscal year ended December 31, 2023, to conduct a review of the Company's Interim Condensed Financial Statements for the 6-month period ending June 30, 2023, as well as to conduct the audit of the Company's Financial Statements for the fiscal year ended December 31, 2024, and to conduct a review of the Company's Interim Condensed Financial Statements for the 6-month period ending June 30, 2024.</w:t>
      </w:r>
    </w:p>
    <w:p w14:paraId="73144EE5" w14:textId="77777777" w:rsidR="00E1198C" w:rsidRDefault="00000000">
      <w:pPr>
        <w:pStyle w:val="Tekstpodstawowy"/>
        <w:spacing w:before="121" w:line="273" w:lineRule="auto"/>
        <w:ind w:left="521" w:right="488"/>
        <w:jc w:val="both"/>
      </w:pPr>
      <w:r>
        <w:t>In addition, the Issuer used the services of the selected audit firm for auditing annual financial statements and reviewing semi-annual financial statements of the Company for the years 2021 and 2022, as well as for assessing the Report on Remuneration of Members of the Management Board and Supervisory Board of Celon Pharma S.A. for the years 2022 and 2023. The remuneration of the audit firm for the fiscal years 2024 and 2023 (in PLN) is presented in the table below.</w:t>
      </w:r>
    </w:p>
    <w:p w14:paraId="6D239EC6" w14:textId="77777777" w:rsidR="00E1198C" w:rsidRDefault="00E1198C">
      <w:pPr>
        <w:pStyle w:val="Tekstpodstawowy"/>
        <w:spacing w:before="25"/>
        <w:rPr>
          <w:sz w:val="20"/>
        </w:rPr>
      </w:pPr>
    </w:p>
    <w:tbl>
      <w:tblPr>
        <w:tblStyle w:val="TableNormal"/>
        <w:tblW w:w="0" w:type="auto"/>
        <w:tblInd w:w="467" w:type="dxa"/>
        <w:tblLayout w:type="fixed"/>
        <w:tblLook w:val="01E0" w:firstRow="1" w:lastRow="1" w:firstColumn="1" w:lastColumn="1" w:noHBand="0" w:noVBand="0"/>
      </w:tblPr>
      <w:tblGrid>
        <w:gridCol w:w="6519"/>
        <w:gridCol w:w="2460"/>
        <w:gridCol w:w="1255"/>
      </w:tblGrid>
      <w:tr w:rsidR="00E1198C" w14:paraId="1DEF459D" w14:textId="77777777">
        <w:trPr>
          <w:trHeight w:val="300"/>
        </w:trPr>
        <w:tc>
          <w:tcPr>
            <w:tcW w:w="6519" w:type="dxa"/>
          </w:tcPr>
          <w:p w14:paraId="0A8F0E3D" w14:textId="77777777" w:rsidR="00E1198C" w:rsidRDefault="00E1198C">
            <w:pPr>
              <w:pStyle w:val="TableParagraph"/>
              <w:rPr>
                <w:rFonts w:ascii="Times New Roman"/>
                <w:sz w:val="18"/>
              </w:rPr>
            </w:pPr>
          </w:p>
        </w:tc>
        <w:tc>
          <w:tcPr>
            <w:tcW w:w="2460" w:type="dxa"/>
          </w:tcPr>
          <w:p w14:paraId="2D21FAD3" w14:textId="77777777" w:rsidR="00E1198C" w:rsidRDefault="00000000">
            <w:pPr>
              <w:pStyle w:val="TableParagraph"/>
              <w:spacing w:line="197" w:lineRule="exact"/>
              <w:ind w:left="1464"/>
              <w:rPr>
                <w:sz w:val="18"/>
              </w:rPr>
            </w:pPr>
            <w:r>
              <w:rPr>
                <w:color w:val="FFFFFF"/>
                <w:sz w:val="18"/>
              </w:rPr>
              <w:t>2024</w:t>
            </w:r>
          </w:p>
        </w:tc>
        <w:tc>
          <w:tcPr>
            <w:tcW w:w="1255" w:type="dxa"/>
          </w:tcPr>
          <w:p w14:paraId="0BA04121" w14:textId="77777777" w:rsidR="00E1198C" w:rsidRDefault="00000000">
            <w:pPr>
              <w:pStyle w:val="TableParagraph"/>
              <w:spacing w:line="197" w:lineRule="exact"/>
              <w:jc w:val="center"/>
              <w:rPr>
                <w:sz w:val="18"/>
              </w:rPr>
            </w:pPr>
            <w:r>
              <w:rPr>
                <w:color w:val="FFFFFF"/>
                <w:sz w:val="18"/>
              </w:rPr>
              <w:t>2023</w:t>
            </w:r>
          </w:p>
        </w:tc>
      </w:tr>
      <w:tr w:rsidR="00E1198C" w14:paraId="1D2DA84C" w14:textId="77777777">
        <w:trPr>
          <w:trHeight w:val="408"/>
        </w:trPr>
        <w:tc>
          <w:tcPr>
            <w:tcW w:w="6519" w:type="dxa"/>
          </w:tcPr>
          <w:p w14:paraId="7F4E5B78" w14:textId="22EF32E4" w:rsidR="00E1198C" w:rsidRDefault="00000000">
            <w:pPr>
              <w:pStyle w:val="TableParagraph"/>
              <w:spacing w:before="93"/>
              <w:ind w:left="50"/>
              <w:rPr>
                <w:sz w:val="18"/>
              </w:rPr>
            </w:pPr>
            <w:r>
              <w:rPr>
                <w:noProof/>
              </w:rPr>
              <mc:AlternateContent>
                <mc:Choice Requires="wpg">
                  <w:drawing>
                    <wp:anchor distT="0" distB="0" distL="0" distR="0" simplePos="0" relativeHeight="251661824" behindDoc="1" locked="0" layoutInCell="1" allowOverlap="1" wp14:anchorId="119E240D" wp14:editId="7AD9C330">
                      <wp:simplePos x="0" y="0"/>
                      <wp:positionH relativeFrom="column">
                        <wp:posOffset>17458</wp:posOffset>
                      </wp:positionH>
                      <wp:positionV relativeFrom="paragraph">
                        <wp:posOffset>-283723</wp:posOffset>
                      </wp:positionV>
                      <wp:extent cx="6546215" cy="1586865"/>
                      <wp:effectExtent l="0" t="0" r="0" b="0"/>
                      <wp:wrapNone/>
                      <wp:docPr id="91" name="Group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46215" cy="1586865"/>
                                <a:chOff x="0" y="0"/>
                                <a:chExt cx="6546215" cy="1586865"/>
                              </a:xfrm>
                            </wpg:grpSpPr>
                            <pic:pic xmlns:pic="http://schemas.openxmlformats.org/drawingml/2006/picture">
                              <pic:nvPicPr>
                                <pic:cNvPr id="92" name="Image 92"/>
                                <pic:cNvPicPr/>
                              </pic:nvPicPr>
                              <pic:blipFill>
                                <a:blip r:embed="rId25" cstate="print"/>
                                <a:stretch>
                                  <a:fillRect/>
                                </a:stretch>
                              </pic:blipFill>
                              <pic:spPr>
                                <a:xfrm>
                                  <a:off x="0" y="0"/>
                                  <a:ext cx="6545670" cy="1586396"/>
                                </a:xfrm>
                                <a:prstGeom prst="rect">
                                  <a:avLst/>
                                </a:prstGeom>
                              </pic:spPr>
                            </pic:pic>
                          </wpg:wgp>
                        </a:graphicData>
                      </a:graphic>
                    </wp:anchor>
                  </w:drawing>
                </mc:Choice>
                <mc:Fallback>
                  <w:pict>
                    <v:group w14:anchorId="4D250536" id="Group 91" o:spid="_x0000_s1026" style="position:absolute;margin-left:1.35pt;margin-top:-22.35pt;width:515.45pt;height:124.95pt;z-index:-251654656;mso-wrap-distance-left:0;mso-wrap-distance-right:0" coordsize="65462,158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">
                      <v:shape id="Image 92" o:spid="_x0000_s1027" type="#_x0000_t75" style="position:absolute;width:65456;height:158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">
                        <v:imagedata r:id="rId26" o:title=""/>
                      </v:shape>
                    </v:group>
                  </w:pict>
                </mc:Fallback>
              </mc:AlternateContent>
            </w:r>
            <w:r>
              <w:rPr>
                <w:sz w:val="18"/>
              </w:rPr>
              <w:t>1. Mandatory audit of the annual financial statements</w:t>
            </w:r>
          </w:p>
        </w:tc>
        <w:tc>
          <w:tcPr>
            <w:tcW w:w="2460" w:type="dxa"/>
          </w:tcPr>
          <w:p w14:paraId="7C17F6B6" w14:textId="77777777" w:rsidR="00E1198C" w:rsidRDefault="00000000">
            <w:pPr>
              <w:pStyle w:val="TableParagraph"/>
              <w:spacing w:before="93"/>
              <w:ind w:right="517"/>
              <w:jc w:val="right"/>
              <w:rPr>
                <w:sz w:val="18"/>
              </w:rPr>
            </w:pPr>
            <w:r>
              <w:rPr>
                <w:sz w:val="18"/>
              </w:rPr>
              <w:t>200,000</w:t>
            </w:r>
          </w:p>
        </w:tc>
        <w:tc>
          <w:tcPr>
            <w:tcW w:w="1255" w:type="dxa"/>
          </w:tcPr>
          <w:p w14:paraId="3E60A884" w14:textId="77777777" w:rsidR="00E1198C" w:rsidRDefault="00000000">
            <w:pPr>
              <w:pStyle w:val="TableParagraph"/>
              <w:spacing w:before="93"/>
              <w:ind w:right="50"/>
              <w:jc w:val="right"/>
              <w:rPr>
                <w:sz w:val="18"/>
              </w:rPr>
            </w:pPr>
            <w:r>
              <w:rPr>
                <w:sz w:val="18"/>
              </w:rPr>
              <w:t>200,000</w:t>
            </w:r>
          </w:p>
        </w:tc>
      </w:tr>
      <w:tr w:rsidR="00E1198C" w14:paraId="743EA6FE" w14:textId="77777777">
        <w:trPr>
          <w:trHeight w:val="421"/>
        </w:trPr>
        <w:tc>
          <w:tcPr>
            <w:tcW w:w="6519" w:type="dxa"/>
          </w:tcPr>
          <w:p w14:paraId="7B9E2500" w14:textId="4D802646" w:rsidR="00E1198C" w:rsidRDefault="00000000">
            <w:pPr>
              <w:pStyle w:val="TableParagraph"/>
              <w:spacing w:before="89"/>
              <w:ind w:left="50"/>
              <w:rPr>
                <w:sz w:val="18"/>
              </w:rPr>
            </w:pPr>
            <w:r>
              <w:rPr>
                <w:sz w:val="18"/>
              </w:rPr>
              <w:t>2. Review of the half-year financial statements</w:t>
            </w:r>
          </w:p>
        </w:tc>
        <w:tc>
          <w:tcPr>
            <w:tcW w:w="2460" w:type="dxa"/>
          </w:tcPr>
          <w:p w14:paraId="7CFE7672" w14:textId="77777777" w:rsidR="00E1198C" w:rsidRDefault="00000000">
            <w:pPr>
              <w:pStyle w:val="TableParagraph"/>
              <w:spacing w:before="89"/>
              <w:ind w:right="517"/>
              <w:jc w:val="right"/>
              <w:rPr>
                <w:sz w:val="18"/>
              </w:rPr>
            </w:pPr>
            <w:r>
              <w:rPr>
                <w:sz w:val="18"/>
              </w:rPr>
              <w:t>130,000</w:t>
            </w:r>
          </w:p>
        </w:tc>
        <w:tc>
          <w:tcPr>
            <w:tcW w:w="1255" w:type="dxa"/>
          </w:tcPr>
          <w:p w14:paraId="4912E096" w14:textId="77777777" w:rsidR="00E1198C" w:rsidRDefault="00000000">
            <w:pPr>
              <w:pStyle w:val="TableParagraph"/>
              <w:spacing w:before="89"/>
              <w:ind w:right="46"/>
              <w:jc w:val="right"/>
              <w:rPr>
                <w:sz w:val="18"/>
              </w:rPr>
            </w:pPr>
            <w:r>
              <w:rPr>
                <w:sz w:val="18"/>
              </w:rPr>
              <w:t>130,000</w:t>
            </w:r>
          </w:p>
        </w:tc>
      </w:tr>
      <w:tr w:rsidR="00E1198C" w14:paraId="535DFB8F" w14:textId="77777777">
        <w:trPr>
          <w:trHeight w:val="427"/>
        </w:trPr>
        <w:tc>
          <w:tcPr>
            <w:tcW w:w="6519" w:type="dxa"/>
          </w:tcPr>
          <w:p w14:paraId="22994993" w14:textId="77777777" w:rsidR="00E1198C" w:rsidRDefault="00000000">
            <w:pPr>
              <w:pStyle w:val="TableParagraph"/>
              <w:spacing w:before="106"/>
              <w:ind w:left="50"/>
              <w:rPr>
                <w:sz w:val="18"/>
              </w:rPr>
            </w:pPr>
            <w:r>
              <w:rPr>
                <w:sz w:val="18"/>
              </w:rPr>
              <w:t>3. Tax advisory services</w:t>
            </w:r>
          </w:p>
        </w:tc>
        <w:tc>
          <w:tcPr>
            <w:tcW w:w="2460" w:type="dxa"/>
          </w:tcPr>
          <w:p w14:paraId="6DA84412" w14:textId="77777777" w:rsidR="00E1198C" w:rsidRDefault="00E1198C">
            <w:pPr>
              <w:pStyle w:val="TableParagraph"/>
              <w:rPr>
                <w:rFonts w:ascii="Times New Roman"/>
                <w:sz w:val="18"/>
              </w:rPr>
            </w:pPr>
          </w:p>
        </w:tc>
        <w:tc>
          <w:tcPr>
            <w:tcW w:w="1255" w:type="dxa"/>
          </w:tcPr>
          <w:p w14:paraId="6B48652A" w14:textId="77777777" w:rsidR="00E1198C" w:rsidRDefault="00E1198C">
            <w:pPr>
              <w:pStyle w:val="TableParagraph"/>
              <w:rPr>
                <w:rFonts w:ascii="Times New Roman"/>
                <w:sz w:val="18"/>
              </w:rPr>
            </w:pPr>
          </w:p>
        </w:tc>
      </w:tr>
      <w:tr w:rsidR="00E1198C" w14:paraId="0E251CD0" w14:textId="77777777">
        <w:trPr>
          <w:trHeight w:val="416"/>
        </w:trPr>
        <w:tc>
          <w:tcPr>
            <w:tcW w:w="6519" w:type="dxa"/>
          </w:tcPr>
          <w:p w14:paraId="57888E2A" w14:textId="77777777" w:rsidR="00E1198C" w:rsidRDefault="00000000">
            <w:pPr>
              <w:pStyle w:val="TableParagraph"/>
              <w:spacing w:before="95"/>
              <w:ind w:left="50"/>
              <w:rPr>
                <w:sz w:val="18"/>
              </w:rPr>
            </w:pPr>
            <w:r>
              <w:rPr>
                <w:sz w:val="18"/>
              </w:rPr>
              <w:t>4. Other services (Report on remuneration)</w:t>
            </w:r>
          </w:p>
        </w:tc>
        <w:tc>
          <w:tcPr>
            <w:tcW w:w="2460" w:type="dxa"/>
          </w:tcPr>
          <w:p w14:paraId="2CC2CCB5" w14:textId="77777777" w:rsidR="00E1198C" w:rsidRDefault="00000000">
            <w:pPr>
              <w:pStyle w:val="TableParagraph"/>
              <w:spacing w:before="95"/>
              <w:ind w:right="566"/>
              <w:jc w:val="right"/>
              <w:rPr>
                <w:sz w:val="18"/>
              </w:rPr>
            </w:pPr>
            <w:r>
              <w:rPr>
                <w:sz w:val="18"/>
              </w:rPr>
              <w:t>21,000</w:t>
            </w:r>
          </w:p>
        </w:tc>
        <w:tc>
          <w:tcPr>
            <w:tcW w:w="1255" w:type="dxa"/>
          </w:tcPr>
          <w:p w14:paraId="4834015D" w14:textId="77777777" w:rsidR="00E1198C" w:rsidRDefault="00000000">
            <w:pPr>
              <w:pStyle w:val="TableParagraph"/>
              <w:spacing w:line="213" w:lineRule="exact"/>
              <w:ind w:right="63"/>
              <w:jc w:val="right"/>
              <w:rPr>
                <w:sz w:val="18"/>
              </w:rPr>
            </w:pPr>
            <w:r>
              <w:rPr>
                <w:sz w:val="18"/>
              </w:rPr>
              <w:t>19,000</w:t>
            </w:r>
          </w:p>
        </w:tc>
      </w:tr>
      <w:tr w:rsidR="00E1198C" w14:paraId="5EE501FC" w14:textId="77777777">
        <w:trPr>
          <w:trHeight w:val="298"/>
        </w:trPr>
        <w:tc>
          <w:tcPr>
            <w:tcW w:w="6519" w:type="dxa"/>
          </w:tcPr>
          <w:p w14:paraId="40CF0ABD" w14:textId="77777777" w:rsidR="00E1198C" w:rsidRDefault="00000000">
            <w:pPr>
              <w:pStyle w:val="TableParagraph"/>
              <w:spacing w:before="95" w:line="183" w:lineRule="exact"/>
              <w:ind w:left="50"/>
              <w:rPr>
                <w:sz w:val="18"/>
              </w:rPr>
            </w:pPr>
            <w:r>
              <w:rPr>
                <w:sz w:val="18"/>
              </w:rPr>
              <w:t>TOTAL</w:t>
            </w:r>
          </w:p>
        </w:tc>
        <w:tc>
          <w:tcPr>
            <w:tcW w:w="2460" w:type="dxa"/>
          </w:tcPr>
          <w:p w14:paraId="61DBD0D2" w14:textId="77777777" w:rsidR="00E1198C" w:rsidRDefault="00000000">
            <w:pPr>
              <w:pStyle w:val="TableParagraph"/>
              <w:spacing w:before="95" w:line="183" w:lineRule="exact"/>
              <w:ind w:right="441"/>
              <w:jc w:val="right"/>
              <w:rPr>
                <w:sz w:val="18"/>
              </w:rPr>
            </w:pPr>
            <w:r>
              <w:rPr>
                <w:sz w:val="18"/>
              </w:rPr>
              <w:t>351,000</w:t>
            </w:r>
          </w:p>
        </w:tc>
        <w:tc>
          <w:tcPr>
            <w:tcW w:w="1255" w:type="dxa"/>
          </w:tcPr>
          <w:p w14:paraId="48E6F22A" w14:textId="77777777" w:rsidR="00E1198C" w:rsidRDefault="00000000">
            <w:pPr>
              <w:pStyle w:val="TableParagraph"/>
              <w:spacing w:before="95" w:line="183" w:lineRule="exact"/>
              <w:ind w:right="95"/>
              <w:jc w:val="right"/>
              <w:rPr>
                <w:sz w:val="18"/>
              </w:rPr>
            </w:pPr>
            <w:r>
              <w:rPr>
                <w:sz w:val="18"/>
              </w:rPr>
              <w:t>349000</w:t>
            </w:r>
          </w:p>
        </w:tc>
      </w:tr>
    </w:tbl>
    <w:p w14:paraId="1289FA64" w14:textId="77777777" w:rsidR="00E1198C" w:rsidRDefault="00E1198C">
      <w:pPr>
        <w:pStyle w:val="Tekstpodstawowy"/>
      </w:pPr>
    </w:p>
    <w:p w14:paraId="525779A3" w14:textId="77777777" w:rsidR="00E1198C" w:rsidRDefault="00E1198C">
      <w:pPr>
        <w:pStyle w:val="Tekstpodstawowy"/>
        <w:spacing w:before="69"/>
      </w:pPr>
    </w:p>
    <w:p w14:paraId="00E23B9C" w14:textId="77777777" w:rsidR="00E1198C" w:rsidRDefault="00000000">
      <w:pPr>
        <w:pStyle w:val="Akapitzlist"/>
        <w:numPr>
          <w:ilvl w:val="1"/>
          <w:numId w:val="43"/>
        </w:numPr>
        <w:tabs>
          <w:tab w:val="left" w:pos="1129"/>
        </w:tabs>
        <w:ind w:left="1129" w:hanging="619"/>
        <w:rPr>
          <w:sz w:val="18"/>
        </w:rPr>
      </w:pPr>
      <w:r>
        <w:rPr>
          <w:color w:val="F07D00"/>
          <w:sz w:val="18"/>
        </w:rPr>
        <w:t xml:space="preserve">Expenditure incurred in supporting culture, sport and charitable institutions </w:t>
      </w:r>
    </w:p>
    <w:p w14:paraId="0215778A" w14:textId="77777777" w:rsidR="00E1198C" w:rsidRDefault="00E1198C">
      <w:pPr>
        <w:pStyle w:val="Tekstpodstawowy"/>
        <w:spacing w:before="135"/>
      </w:pPr>
    </w:p>
    <w:p w14:paraId="0C978E87" w14:textId="77777777" w:rsidR="00E1198C" w:rsidRDefault="00000000">
      <w:pPr>
        <w:pStyle w:val="Tekstpodstawowy"/>
        <w:spacing w:line="283" w:lineRule="auto"/>
        <w:ind w:left="510" w:right="480"/>
        <w:jc w:val="both"/>
      </w:pPr>
      <w:r>
        <w:t>In 2024 Celon Pharma S.A. did not incur expenses for supporting culture, sport, charitable institutions, media, social organizations, trade unions, etc.</w:t>
      </w:r>
    </w:p>
    <w:p w14:paraId="098D4353" w14:textId="6ABE22E6" w:rsidR="00E1198C" w:rsidRDefault="00E1198C" w:rsidP="00AF7771">
      <w:pPr>
        <w:pStyle w:val="Tekstpodstawowy"/>
        <w:rPr>
          <w:sz w:val="20"/>
        </w:rPr>
      </w:pPr>
    </w:p>
    <w:sectPr w:rsidR="00E1198C" w:rsidSect="00AF7771">
      <w:footerReference w:type="default" r:id="rId27"/>
      <w:pgSz w:w="11900" w:h="16840"/>
      <w:pgMar w:top="1180" w:right="320" w:bottom="1220" w:left="300" w:header="0" w:footer="103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3D0CE" w14:textId="77777777" w:rsidR="004D4864" w:rsidRDefault="004D4864">
      <w:r>
        <w:separator/>
      </w:r>
    </w:p>
  </w:endnote>
  <w:endnote w:type="continuationSeparator" w:id="0">
    <w:p w14:paraId="6C4BD4C2" w14:textId="77777777" w:rsidR="004D4864" w:rsidRDefault="004D4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altName w:val="Times New Roman PS"/>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F0261" w14:textId="77777777" w:rsidR="00E1198C" w:rsidRDefault="00000000">
    <w:pPr>
      <w:pStyle w:val="Tekstpodstawowy"/>
      <w:spacing w:line="14" w:lineRule="auto"/>
      <w:rPr>
        <w:sz w:val="20"/>
      </w:rPr>
    </w:pPr>
    <w:r>
      <w:rPr>
        <w:noProof/>
      </w:rPr>
      <mc:AlternateContent>
        <mc:Choice Requires="wps">
          <w:drawing>
            <wp:anchor distT="0" distB="0" distL="0" distR="0" simplePos="0" relativeHeight="483996160" behindDoc="1" locked="0" layoutInCell="1" allowOverlap="1" wp14:anchorId="662040D5" wp14:editId="7E642954">
              <wp:simplePos x="0" y="0"/>
              <wp:positionH relativeFrom="page">
                <wp:posOffset>6918851</wp:posOffset>
              </wp:positionH>
              <wp:positionV relativeFrom="page">
                <wp:posOffset>10088873</wp:posOffset>
              </wp:positionV>
              <wp:extent cx="179705" cy="14287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705" cy="142875"/>
                      </a:xfrm>
                      <a:prstGeom prst="rect">
                        <a:avLst/>
                      </a:prstGeom>
                    </wps:spPr>
                    <wps:txbx>
                      <w:txbxContent>
                        <w:p w14:paraId="2D10C608" w14:textId="77777777" w:rsidR="00E1198C" w:rsidRDefault="00000000">
                          <w:pPr>
                            <w:pStyle w:val="Tekstpodstawowy"/>
                            <w:spacing w:before="1"/>
                            <w:ind w:left="20"/>
                          </w:pPr>
                          <w:r>
                            <w:fldChar w:fldCharType="begin"/>
                          </w:r>
                          <w:r>
                            <w:instrText xml:space="preserve"> PAGE </w:instrText>
                          </w:r>
                          <w:r>
                            <w:fldChar w:fldCharType="separate"/>
                          </w:r>
                          <w:r>
                            <w:t>10</w:t>
                          </w:r>
                          <w:r>
                            <w:fldChar w:fldCharType="end"/>
                          </w:r>
                        </w:p>
                      </w:txbxContent>
                    </wps:txbx>
                    <wps:bodyPr wrap="square" lIns="0" tIns="0" rIns="0" bIns="0" rtlCol="0">
                      <a:noAutofit/>
                    </wps:bodyPr>
                  </wps:wsp>
                </a:graphicData>
              </a:graphic>
            </wp:anchor>
          </w:drawing>
        </mc:Choice>
        <mc:Fallback>
          <w:pict>
            <v:shapetype w14:anchorId="662040D5" id="_x0000_t202" coordsize="21600,21600" o:spt="202" path="m,l,21600r21600,l21600,xe">
              <v:stroke joinstyle="miter"/>
              <v:path gradientshapeok="t" o:connecttype="rect"/>
            </v:shapetype>
            <v:shape id="Textbox 2" o:spid="_x0000_s1075" type="#_x0000_t202" style="position:absolute;margin-left:544.8pt;margin-top:794.4pt;width:14.15pt;height:11.25pt;z-index:-193203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" filled="f" stroked="f">
              <v:textbox inset="0,0,0,0">
                <w:txbxContent>
                  <w:p w14:paraId="2D10C608" w14:textId="77777777" w:rsidR="00E1198C" w:rsidRDefault="00000000">
                    <w:pPr>
                      <w:pStyle w:val="Tekstpodstawowy"/>
                      <w:spacing w:before="1"/>
                      <w:ind w:left="20"/>
                    </w:pPr>
                    <w:r>
                      <w:fldChar w:fldCharType="begin"/>
                    </w:r>
                    <w:r>
                      <w:instrText xml:space="preserve"> PAGE </w:instrText>
                    </w:r>
                    <w:r>
                      <w:fldChar w:fldCharType="separate"/>
                    </w:r>
                    <w:r>
                      <w:t>10</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04A6C" w14:textId="77777777" w:rsidR="00E1198C" w:rsidRDefault="00E1198C">
    <w:pPr>
      <w:pStyle w:val="Tekstpodstawowy"/>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E0553" w14:textId="77777777" w:rsidR="00E1198C" w:rsidRDefault="00000000">
    <w:pPr>
      <w:pStyle w:val="Tekstpodstawowy"/>
      <w:spacing w:line="14" w:lineRule="auto"/>
      <w:rPr>
        <w:sz w:val="20"/>
      </w:rPr>
    </w:pPr>
    <w:r>
      <w:rPr>
        <w:noProof/>
      </w:rPr>
      <mc:AlternateContent>
        <mc:Choice Requires="wps">
          <w:drawing>
            <wp:anchor distT="0" distB="0" distL="0" distR="0" simplePos="0" relativeHeight="483996672" behindDoc="1" locked="0" layoutInCell="1" allowOverlap="1" wp14:anchorId="639288AE" wp14:editId="07925D25">
              <wp:simplePos x="0" y="0"/>
              <wp:positionH relativeFrom="page">
                <wp:posOffset>6893451</wp:posOffset>
              </wp:positionH>
              <wp:positionV relativeFrom="page">
                <wp:posOffset>10088891</wp:posOffset>
              </wp:positionV>
              <wp:extent cx="205104" cy="142875"/>
              <wp:effectExtent l="0" t="0" r="0" b="0"/>
              <wp:wrapNone/>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5104" cy="142875"/>
                      </a:xfrm>
                      <a:prstGeom prst="rect">
                        <a:avLst/>
                      </a:prstGeom>
                    </wps:spPr>
                    <wps:txbx>
                      <w:txbxContent>
                        <w:p w14:paraId="012C1CAB" w14:textId="77777777" w:rsidR="00E1198C" w:rsidRDefault="00000000">
                          <w:pPr>
                            <w:pStyle w:val="Tekstpodstawowy"/>
                            <w:spacing w:before="1"/>
                            <w:ind w:left="60"/>
                          </w:pPr>
                          <w:r>
                            <w:fldChar w:fldCharType="begin"/>
                          </w:r>
                          <w:r>
                            <w:instrText xml:space="preserve"> PAGE </w:instrText>
                          </w:r>
                          <w:r>
                            <w:fldChar w:fldCharType="separate"/>
                          </w:r>
                          <w:r>
                            <w:t>17</w:t>
                          </w:r>
                          <w:r>
                            <w:fldChar w:fldCharType="end"/>
                          </w:r>
                        </w:p>
                      </w:txbxContent>
                    </wps:txbx>
                    <wps:bodyPr wrap="square" lIns="0" tIns="0" rIns="0" bIns="0" rtlCol="0">
                      <a:noAutofit/>
                    </wps:bodyPr>
                  </wps:wsp>
                </a:graphicData>
              </a:graphic>
            </wp:anchor>
          </w:drawing>
        </mc:Choice>
        <mc:Fallback>
          <w:pict>
            <v:shapetype w14:anchorId="639288AE" id="_x0000_t202" coordsize="21600,21600" o:spt="202" path="m,l,21600r21600,l21600,xe">
              <v:stroke joinstyle="miter"/>
              <v:path gradientshapeok="t" o:connecttype="rect"/>
            </v:shapetype>
            <v:shape id="Textbox 33" o:spid="_x0000_s1076" type="#_x0000_t202" style="position:absolute;margin-left:542.8pt;margin-top:794.4pt;width:16.15pt;height:11.25pt;z-index:-19319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" filled="f" stroked="f">
              <v:textbox inset="0,0,0,0">
                <w:txbxContent>
                  <w:p w14:paraId="012C1CAB" w14:textId="77777777" w:rsidR="00E1198C" w:rsidRDefault="00000000">
                    <w:pPr>
                      <w:pStyle w:val="Tekstpodstawowy"/>
                      <w:spacing w:before="1"/>
                      <w:ind w:left="60"/>
                    </w:pPr>
                    <w:r>
                      <w:fldChar w:fldCharType="begin"/>
                    </w:r>
                    <w:r>
                      <w:instrText xml:space="preserve"> PAGE </w:instrText>
                    </w:r>
                    <w:r>
                      <w:fldChar w:fldCharType="separate"/>
                    </w:r>
                    <w:r>
                      <w:t>17</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16CC6" w14:textId="77777777" w:rsidR="00E1198C" w:rsidRDefault="00000000">
    <w:pPr>
      <w:pStyle w:val="Tekstpodstawowy"/>
      <w:spacing w:line="14" w:lineRule="auto"/>
      <w:rPr>
        <w:sz w:val="20"/>
      </w:rPr>
    </w:pPr>
    <w:r>
      <w:rPr>
        <w:noProof/>
      </w:rPr>
      <mc:AlternateContent>
        <mc:Choice Requires="wps">
          <w:drawing>
            <wp:anchor distT="0" distB="0" distL="0" distR="0" simplePos="0" relativeHeight="483998720" behindDoc="1" locked="0" layoutInCell="1" allowOverlap="1" wp14:anchorId="674D1E3E" wp14:editId="148E0BA4">
              <wp:simplePos x="0" y="0"/>
              <wp:positionH relativeFrom="page">
                <wp:posOffset>862287</wp:posOffset>
              </wp:positionH>
              <wp:positionV relativeFrom="page">
                <wp:posOffset>9897343</wp:posOffset>
              </wp:positionV>
              <wp:extent cx="217170" cy="152400"/>
              <wp:effectExtent l="0" t="0" r="0" b="0"/>
              <wp:wrapNone/>
              <wp:docPr id="201" name="Textbox 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52400"/>
                      </a:xfrm>
                      <a:prstGeom prst="rect">
                        <a:avLst/>
                      </a:prstGeom>
                    </wps:spPr>
                    <wps:txbx>
                      <w:txbxContent>
                        <w:p w14:paraId="417EFBD8" w14:textId="77777777" w:rsidR="00E1198C" w:rsidRDefault="00000000">
                          <w:pPr>
                            <w:spacing w:line="234" w:lineRule="exact"/>
                            <w:ind w:left="60"/>
                            <w:rPr>
                              <w:sz w:val="20"/>
                            </w:rPr>
                          </w:pPr>
                          <w:r>
                            <w:rPr>
                              <w:sz w:val="20"/>
                            </w:rPr>
                            <w:fldChar w:fldCharType="begin"/>
                          </w:r>
                          <w:r>
                            <w:rPr>
                              <w:sz w:val="20"/>
                            </w:rPr>
                            <w:instrText xml:space="preserve"> PAGE </w:instrText>
                          </w:r>
                          <w:r>
                            <w:rPr>
                              <w:sz w:val="20"/>
                            </w:rPr>
                            <w:fldChar w:fldCharType="separate"/>
                          </w:r>
                          <w:r>
                            <w:rPr>
                              <w:sz w:val="20"/>
                            </w:rPr>
                            <w:t>40</w:t>
                          </w:r>
                          <w:r>
                            <w:rPr>
                              <w:sz w:val="20"/>
                            </w:rPr>
                            <w:fldChar w:fldCharType="end"/>
                          </w:r>
                        </w:p>
                      </w:txbxContent>
                    </wps:txbx>
                    <wps:bodyPr wrap="square" lIns="0" tIns="0" rIns="0" bIns="0" rtlCol="0">
                      <a:noAutofit/>
                    </wps:bodyPr>
                  </wps:wsp>
                </a:graphicData>
              </a:graphic>
            </wp:anchor>
          </w:drawing>
        </mc:Choice>
        <mc:Fallback>
          <w:pict>
            <v:shapetype w14:anchorId="674D1E3E" id="_x0000_t202" coordsize="21600,21600" o:spt="202" path="m,l,21600r21600,l21600,xe">
              <v:stroke joinstyle="miter"/>
              <v:path gradientshapeok="t" o:connecttype="rect"/>
            </v:shapetype>
            <v:shape id="Textbox 201" o:spid="_x0000_s1077" type="#_x0000_t202" style="position:absolute;margin-left:67.9pt;margin-top:779.3pt;width:17.1pt;height:12pt;z-index:-19317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" filled="f" stroked="f">
              <v:textbox inset="0,0,0,0">
                <w:txbxContent>
                  <w:p w14:paraId="417EFBD8" w14:textId="77777777" w:rsidR="00E1198C" w:rsidRDefault="00000000">
                    <w:pPr>
                      <w:spacing w:line="234" w:lineRule="exact"/>
                      <w:ind w:left="60"/>
                      <w:rPr>
                        <w:sz w:val="20"/>
                      </w:rPr>
                    </w:pPr>
                    <w:r>
                      <w:rPr>
                        <w:sz w:val="20"/>
                      </w:rPr>
                      <w:fldChar w:fldCharType="begin"/>
                    </w:r>
                    <w:r>
                      <w:rPr>
                        <w:sz w:val="20"/>
                      </w:rPr>
                      <w:instrText xml:space="preserve"> PAGE </w:instrText>
                    </w:r>
                    <w:r>
                      <w:rPr>
                        <w:sz w:val="20"/>
                      </w:rPr>
                      <w:fldChar w:fldCharType="separate"/>
                    </w:r>
                    <w:r>
                      <w:rPr>
                        <w:sz w:val="20"/>
                      </w:rPr>
                      <w:t>40</w:t>
                    </w:r>
                    <w:r>
                      <w:rPr>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277CB" w14:textId="77777777" w:rsidR="004D4864" w:rsidRDefault="004D4864">
      <w:r>
        <w:separator/>
      </w:r>
    </w:p>
  </w:footnote>
  <w:footnote w:type="continuationSeparator" w:id="0">
    <w:p w14:paraId="76FFF7C9" w14:textId="77777777" w:rsidR="004D4864" w:rsidRDefault="004D48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78F9"/>
    <w:multiLevelType w:val="hybridMultilevel"/>
    <w:tmpl w:val="7C9AA0D2"/>
    <w:lvl w:ilvl="0" w:tplc="FFE476DA">
      <w:numFmt w:val="bullet"/>
      <w:lvlText w:val="■"/>
      <w:lvlJc w:val="left"/>
      <w:pPr>
        <w:ind w:left="1640" w:hanging="286"/>
      </w:pPr>
      <w:rPr>
        <w:rFonts w:ascii="Arial" w:eastAsia="Arial" w:hAnsi="Arial" w:cs="Arial" w:hint="default"/>
        <w:b w:val="0"/>
        <w:bCs w:val="0"/>
        <w:i w:val="0"/>
        <w:iCs w:val="0"/>
        <w:color w:val="F5811F"/>
        <w:spacing w:val="0"/>
        <w:w w:val="100"/>
        <w:sz w:val="30"/>
        <w:szCs w:val="30"/>
        <w:lang w:val="pl-PL" w:eastAsia="en-US" w:bidi="ar-SA"/>
      </w:rPr>
    </w:lvl>
    <w:lvl w:ilvl="1" w:tplc="1EE8F906">
      <w:numFmt w:val="bullet"/>
      <w:lvlText w:val="•"/>
      <w:lvlJc w:val="left"/>
      <w:pPr>
        <w:ind w:left="2603" w:hanging="286"/>
      </w:pPr>
      <w:rPr>
        <w:rFonts w:hint="default"/>
        <w:lang w:val="pl-PL" w:eastAsia="en-US" w:bidi="ar-SA"/>
      </w:rPr>
    </w:lvl>
    <w:lvl w:ilvl="2" w:tplc="E3F6F128">
      <w:numFmt w:val="bullet"/>
      <w:lvlText w:val="•"/>
      <w:lvlJc w:val="left"/>
      <w:pPr>
        <w:ind w:left="3567" w:hanging="286"/>
      </w:pPr>
      <w:rPr>
        <w:rFonts w:hint="default"/>
        <w:lang w:val="pl-PL" w:eastAsia="en-US" w:bidi="ar-SA"/>
      </w:rPr>
    </w:lvl>
    <w:lvl w:ilvl="3" w:tplc="3BF8EC3E">
      <w:numFmt w:val="bullet"/>
      <w:lvlText w:val="•"/>
      <w:lvlJc w:val="left"/>
      <w:pPr>
        <w:ind w:left="4531" w:hanging="286"/>
      </w:pPr>
      <w:rPr>
        <w:rFonts w:hint="default"/>
        <w:lang w:val="pl-PL" w:eastAsia="en-US" w:bidi="ar-SA"/>
      </w:rPr>
    </w:lvl>
    <w:lvl w:ilvl="4" w:tplc="90EEA100">
      <w:numFmt w:val="bullet"/>
      <w:lvlText w:val="•"/>
      <w:lvlJc w:val="left"/>
      <w:pPr>
        <w:ind w:left="5495" w:hanging="286"/>
      </w:pPr>
      <w:rPr>
        <w:rFonts w:hint="default"/>
        <w:lang w:val="pl-PL" w:eastAsia="en-US" w:bidi="ar-SA"/>
      </w:rPr>
    </w:lvl>
    <w:lvl w:ilvl="5" w:tplc="25AE07DA">
      <w:numFmt w:val="bullet"/>
      <w:lvlText w:val="•"/>
      <w:lvlJc w:val="left"/>
      <w:pPr>
        <w:ind w:left="6459" w:hanging="286"/>
      </w:pPr>
      <w:rPr>
        <w:rFonts w:hint="default"/>
        <w:lang w:val="pl-PL" w:eastAsia="en-US" w:bidi="ar-SA"/>
      </w:rPr>
    </w:lvl>
    <w:lvl w:ilvl="6" w:tplc="96329EF2">
      <w:numFmt w:val="bullet"/>
      <w:lvlText w:val="•"/>
      <w:lvlJc w:val="left"/>
      <w:pPr>
        <w:ind w:left="7423" w:hanging="286"/>
      </w:pPr>
      <w:rPr>
        <w:rFonts w:hint="default"/>
        <w:lang w:val="pl-PL" w:eastAsia="en-US" w:bidi="ar-SA"/>
      </w:rPr>
    </w:lvl>
    <w:lvl w:ilvl="7" w:tplc="55669220">
      <w:numFmt w:val="bullet"/>
      <w:lvlText w:val="•"/>
      <w:lvlJc w:val="left"/>
      <w:pPr>
        <w:ind w:left="8387" w:hanging="286"/>
      </w:pPr>
      <w:rPr>
        <w:rFonts w:hint="default"/>
        <w:lang w:val="pl-PL" w:eastAsia="en-US" w:bidi="ar-SA"/>
      </w:rPr>
    </w:lvl>
    <w:lvl w:ilvl="8" w:tplc="5B0EB382">
      <w:numFmt w:val="bullet"/>
      <w:lvlText w:val="•"/>
      <w:lvlJc w:val="left"/>
      <w:pPr>
        <w:ind w:left="9351" w:hanging="286"/>
      </w:pPr>
      <w:rPr>
        <w:rFonts w:hint="default"/>
        <w:lang w:val="pl-PL" w:eastAsia="en-US" w:bidi="ar-SA"/>
      </w:rPr>
    </w:lvl>
  </w:abstractNum>
  <w:abstractNum w:abstractNumId="1" w15:restartNumberingAfterBreak="0">
    <w:nsid w:val="06B8039D"/>
    <w:multiLevelType w:val="hybridMultilevel"/>
    <w:tmpl w:val="972E4AF6"/>
    <w:lvl w:ilvl="0" w:tplc="1E52B80A">
      <w:start w:val="1"/>
      <w:numFmt w:val="lowerRoman"/>
      <w:lvlText w:val="%1."/>
      <w:lvlJc w:val="left"/>
      <w:pPr>
        <w:ind w:left="361" w:hanging="141"/>
      </w:pPr>
      <w:rPr>
        <w:rFonts w:ascii="Calibri" w:eastAsia="Calibri" w:hAnsi="Calibri" w:cs="Calibri" w:hint="default"/>
        <w:b w:val="0"/>
        <w:bCs w:val="0"/>
        <w:i w:val="0"/>
        <w:iCs w:val="0"/>
        <w:spacing w:val="-1"/>
        <w:w w:val="99"/>
        <w:sz w:val="20"/>
        <w:szCs w:val="20"/>
        <w:lang w:val="pl-PL" w:eastAsia="en-US" w:bidi="ar-SA"/>
      </w:rPr>
    </w:lvl>
    <w:lvl w:ilvl="1" w:tplc="E6BEB1B6">
      <w:numFmt w:val="bullet"/>
      <w:lvlText w:val="•"/>
      <w:lvlJc w:val="left"/>
      <w:pPr>
        <w:ind w:left="954" w:hanging="141"/>
      </w:pPr>
      <w:rPr>
        <w:rFonts w:hint="default"/>
        <w:lang w:val="pl-PL" w:eastAsia="en-US" w:bidi="ar-SA"/>
      </w:rPr>
    </w:lvl>
    <w:lvl w:ilvl="2" w:tplc="1DA6ADA6">
      <w:numFmt w:val="bullet"/>
      <w:lvlText w:val="•"/>
      <w:lvlJc w:val="left"/>
      <w:pPr>
        <w:ind w:left="1549" w:hanging="141"/>
      </w:pPr>
      <w:rPr>
        <w:rFonts w:hint="default"/>
        <w:lang w:val="pl-PL" w:eastAsia="en-US" w:bidi="ar-SA"/>
      </w:rPr>
    </w:lvl>
    <w:lvl w:ilvl="3" w:tplc="5F7CAC48">
      <w:numFmt w:val="bullet"/>
      <w:lvlText w:val="•"/>
      <w:lvlJc w:val="left"/>
      <w:pPr>
        <w:ind w:left="2144" w:hanging="141"/>
      </w:pPr>
      <w:rPr>
        <w:rFonts w:hint="default"/>
        <w:lang w:val="pl-PL" w:eastAsia="en-US" w:bidi="ar-SA"/>
      </w:rPr>
    </w:lvl>
    <w:lvl w:ilvl="4" w:tplc="D1E61116">
      <w:numFmt w:val="bullet"/>
      <w:lvlText w:val="•"/>
      <w:lvlJc w:val="left"/>
      <w:pPr>
        <w:ind w:left="2739" w:hanging="141"/>
      </w:pPr>
      <w:rPr>
        <w:rFonts w:hint="default"/>
        <w:lang w:val="pl-PL" w:eastAsia="en-US" w:bidi="ar-SA"/>
      </w:rPr>
    </w:lvl>
    <w:lvl w:ilvl="5" w:tplc="B5D8B362">
      <w:numFmt w:val="bullet"/>
      <w:lvlText w:val="•"/>
      <w:lvlJc w:val="left"/>
      <w:pPr>
        <w:ind w:left="3334" w:hanging="141"/>
      </w:pPr>
      <w:rPr>
        <w:rFonts w:hint="default"/>
        <w:lang w:val="pl-PL" w:eastAsia="en-US" w:bidi="ar-SA"/>
      </w:rPr>
    </w:lvl>
    <w:lvl w:ilvl="6" w:tplc="5F32904A">
      <w:numFmt w:val="bullet"/>
      <w:lvlText w:val="•"/>
      <w:lvlJc w:val="left"/>
      <w:pPr>
        <w:ind w:left="3928" w:hanging="141"/>
      </w:pPr>
      <w:rPr>
        <w:rFonts w:hint="default"/>
        <w:lang w:val="pl-PL" w:eastAsia="en-US" w:bidi="ar-SA"/>
      </w:rPr>
    </w:lvl>
    <w:lvl w:ilvl="7" w:tplc="F51CDF50">
      <w:numFmt w:val="bullet"/>
      <w:lvlText w:val="•"/>
      <w:lvlJc w:val="left"/>
      <w:pPr>
        <w:ind w:left="4523" w:hanging="141"/>
      </w:pPr>
      <w:rPr>
        <w:rFonts w:hint="default"/>
        <w:lang w:val="pl-PL" w:eastAsia="en-US" w:bidi="ar-SA"/>
      </w:rPr>
    </w:lvl>
    <w:lvl w:ilvl="8" w:tplc="A7B8DD0C">
      <w:numFmt w:val="bullet"/>
      <w:lvlText w:val="•"/>
      <w:lvlJc w:val="left"/>
      <w:pPr>
        <w:ind w:left="5118" w:hanging="141"/>
      </w:pPr>
      <w:rPr>
        <w:rFonts w:hint="default"/>
        <w:lang w:val="pl-PL" w:eastAsia="en-US" w:bidi="ar-SA"/>
      </w:rPr>
    </w:lvl>
  </w:abstractNum>
  <w:abstractNum w:abstractNumId="2" w15:restartNumberingAfterBreak="0">
    <w:nsid w:val="06DF5B63"/>
    <w:multiLevelType w:val="hybridMultilevel"/>
    <w:tmpl w:val="615A38F6"/>
    <w:lvl w:ilvl="0" w:tplc="91501520">
      <w:start w:val="1"/>
      <w:numFmt w:val="decimal"/>
      <w:lvlText w:val="%1."/>
      <w:lvlJc w:val="left"/>
      <w:pPr>
        <w:ind w:left="1567" w:hanging="236"/>
      </w:pPr>
      <w:rPr>
        <w:rFonts w:ascii="Calibri" w:eastAsia="Calibri" w:hAnsi="Calibri" w:cs="Calibri" w:hint="default"/>
        <w:b w:val="0"/>
        <w:bCs w:val="0"/>
        <w:i w:val="0"/>
        <w:iCs w:val="0"/>
        <w:spacing w:val="0"/>
        <w:w w:val="99"/>
        <w:sz w:val="18"/>
        <w:szCs w:val="18"/>
        <w:lang w:val="pl-PL" w:eastAsia="en-US" w:bidi="ar-SA"/>
      </w:rPr>
    </w:lvl>
    <w:lvl w:ilvl="1" w:tplc="D86E9DB4">
      <w:numFmt w:val="bullet"/>
      <w:lvlText w:val="•"/>
      <w:lvlJc w:val="left"/>
      <w:pPr>
        <w:ind w:left="2531" w:hanging="236"/>
      </w:pPr>
      <w:rPr>
        <w:rFonts w:hint="default"/>
        <w:lang w:val="pl-PL" w:eastAsia="en-US" w:bidi="ar-SA"/>
      </w:rPr>
    </w:lvl>
    <w:lvl w:ilvl="2" w:tplc="99E4250A">
      <w:numFmt w:val="bullet"/>
      <w:lvlText w:val="•"/>
      <w:lvlJc w:val="left"/>
      <w:pPr>
        <w:ind w:left="3503" w:hanging="236"/>
      </w:pPr>
      <w:rPr>
        <w:rFonts w:hint="default"/>
        <w:lang w:val="pl-PL" w:eastAsia="en-US" w:bidi="ar-SA"/>
      </w:rPr>
    </w:lvl>
    <w:lvl w:ilvl="3" w:tplc="78C6D186">
      <w:numFmt w:val="bullet"/>
      <w:lvlText w:val="•"/>
      <w:lvlJc w:val="left"/>
      <w:pPr>
        <w:ind w:left="4475" w:hanging="236"/>
      </w:pPr>
      <w:rPr>
        <w:rFonts w:hint="default"/>
        <w:lang w:val="pl-PL" w:eastAsia="en-US" w:bidi="ar-SA"/>
      </w:rPr>
    </w:lvl>
    <w:lvl w:ilvl="4" w:tplc="95346C00">
      <w:numFmt w:val="bullet"/>
      <w:lvlText w:val="•"/>
      <w:lvlJc w:val="left"/>
      <w:pPr>
        <w:ind w:left="5447" w:hanging="236"/>
      </w:pPr>
      <w:rPr>
        <w:rFonts w:hint="default"/>
        <w:lang w:val="pl-PL" w:eastAsia="en-US" w:bidi="ar-SA"/>
      </w:rPr>
    </w:lvl>
    <w:lvl w:ilvl="5" w:tplc="98266ECA">
      <w:numFmt w:val="bullet"/>
      <w:lvlText w:val="•"/>
      <w:lvlJc w:val="left"/>
      <w:pPr>
        <w:ind w:left="6419" w:hanging="236"/>
      </w:pPr>
      <w:rPr>
        <w:rFonts w:hint="default"/>
        <w:lang w:val="pl-PL" w:eastAsia="en-US" w:bidi="ar-SA"/>
      </w:rPr>
    </w:lvl>
    <w:lvl w:ilvl="6" w:tplc="BD84EC4E">
      <w:numFmt w:val="bullet"/>
      <w:lvlText w:val="•"/>
      <w:lvlJc w:val="left"/>
      <w:pPr>
        <w:ind w:left="7391" w:hanging="236"/>
      </w:pPr>
      <w:rPr>
        <w:rFonts w:hint="default"/>
        <w:lang w:val="pl-PL" w:eastAsia="en-US" w:bidi="ar-SA"/>
      </w:rPr>
    </w:lvl>
    <w:lvl w:ilvl="7" w:tplc="FC14345A">
      <w:numFmt w:val="bullet"/>
      <w:lvlText w:val="•"/>
      <w:lvlJc w:val="left"/>
      <w:pPr>
        <w:ind w:left="8363" w:hanging="236"/>
      </w:pPr>
      <w:rPr>
        <w:rFonts w:hint="default"/>
        <w:lang w:val="pl-PL" w:eastAsia="en-US" w:bidi="ar-SA"/>
      </w:rPr>
    </w:lvl>
    <w:lvl w:ilvl="8" w:tplc="A69E6F7E">
      <w:numFmt w:val="bullet"/>
      <w:lvlText w:val="•"/>
      <w:lvlJc w:val="left"/>
      <w:pPr>
        <w:ind w:left="9335" w:hanging="236"/>
      </w:pPr>
      <w:rPr>
        <w:rFonts w:hint="default"/>
        <w:lang w:val="pl-PL" w:eastAsia="en-US" w:bidi="ar-SA"/>
      </w:rPr>
    </w:lvl>
  </w:abstractNum>
  <w:abstractNum w:abstractNumId="3" w15:restartNumberingAfterBreak="0">
    <w:nsid w:val="07C94E06"/>
    <w:multiLevelType w:val="hybridMultilevel"/>
    <w:tmpl w:val="03E6E7E8"/>
    <w:lvl w:ilvl="0" w:tplc="68920344">
      <w:numFmt w:val="bullet"/>
      <w:lvlText w:val="■"/>
      <w:lvlJc w:val="left"/>
      <w:pPr>
        <w:ind w:left="1230" w:hanging="361"/>
      </w:pPr>
      <w:rPr>
        <w:rFonts w:ascii="Arial" w:eastAsia="Arial" w:hAnsi="Arial" w:cs="Arial" w:hint="default"/>
        <w:b w:val="0"/>
        <w:bCs w:val="0"/>
        <w:i w:val="0"/>
        <w:iCs w:val="0"/>
        <w:color w:val="EC7D31"/>
        <w:spacing w:val="0"/>
        <w:w w:val="123"/>
        <w:sz w:val="18"/>
        <w:szCs w:val="18"/>
        <w:lang w:val="pl-PL" w:eastAsia="en-US" w:bidi="ar-SA"/>
      </w:rPr>
    </w:lvl>
    <w:lvl w:ilvl="1" w:tplc="85A0DC18">
      <w:numFmt w:val="bullet"/>
      <w:lvlText w:val="•"/>
      <w:lvlJc w:val="left"/>
      <w:pPr>
        <w:ind w:left="2243" w:hanging="361"/>
      </w:pPr>
      <w:rPr>
        <w:rFonts w:hint="default"/>
        <w:lang w:val="pl-PL" w:eastAsia="en-US" w:bidi="ar-SA"/>
      </w:rPr>
    </w:lvl>
    <w:lvl w:ilvl="2" w:tplc="189801C6">
      <w:numFmt w:val="bullet"/>
      <w:lvlText w:val="•"/>
      <w:lvlJc w:val="left"/>
      <w:pPr>
        <w:ind w:left="3247" w:hanging="361"/>
      </w:pPr>
      <w:rPr>
        <w:rFonts w:hint="default"/>
        <w:lang w:val="pl-PL" w:eastAsia="en-US" w:bidi="ar-SA"/>
      </w:rPr>
    </w:lvl>
    <w:lvl w:ilvl="3" w:tplc="7A36FB1C">
      <w:numFmt w:val="bullet"/>
      <w:lvlText w:val="•"/>
      <w:lvlJc w:val="left"/>
      <w:pPr>
        <w:ind w:left="4251" w:hanging="361"/>
      </w:pPr>
      <w:rPr>
        <w:rFonts w:hint="default"/>
        <w:lang w:val="pl-PL" w:eastAsia="en-US" w:bidi="ar-SA"/>
      </w:rPr>
    </w:lvl>
    <w:lvl w:ilvl="4" w:tplc="F880CB66">
      <w:numFmt w:val="bullet"/>
      <w:lvlText w:val="•"/>
      <w:lvlJc w:val="left"/>
      <w:pPr>
        <w:ind w:left="5255" w:hanging="361"/>
      </w:pPr>
      <w:rPr>
        <w:rFonts w:hint="default"/>
        <w:lang w:val="pl-PL" w:eastAsia="en-US" w:bidi="ar-SA"/>
      </w:rPr>
    </w:lvl>
    <w:lvl w:ilvl="5" w:tplc="B746680C">
      <w:numFmt w:val="bullet"/>
      <w:lvlText w:val="•"/>
      <w:lvlJc w:val="left"/>
      <w:pPr>
        <w:ind w:left="6259" w:hanging="361"/>
      </w:pPr>
      <w:rPr>
        <w:rFonts w:hint="default"/>
        <w:lang w:val="pl-PL" w:eastAsia="en-US" w:bidi="ar-SA"/>
      </w:rPr>
    </w:lvl>
    <w:lvl w:ilvl="6" w:tplc="146253B2">
      <w:numFmt w:val="bullet"/>
      <w:lvlText w:val="•"/>
      <w:lvlJc w:val="left"/>
      <w:pPr>
        <w:ind w:left="7263" w:hanging="361"/>
      </w:pPr>
      <w:rPr>
        <w:rFonts w:hint="default"/>
        <w:lang w:val="pl-PL" w:eastAsia="en-US" w:bidi="ar-SA"/>
      </w:rPr>
    </w:lvl>
    <w:lvl w:ilvl="7" w:tplc="472CEFE4">
      <w:numFmt w:val="bullet"/>
      <w:lvlText w:val="•"/>
      <w:lvlJc w:val="left"/>
      <w:pPr>
        <w:ind w:left="8267" w:hanging="361"/>
      </w:pPr>
      <w:rPr>
        <w:rFonts w:hint="default"/>
        <w:lang w:val="pl-PL" w:eastAsia="en-US" w:bidi="ar-SA"/>
      </w:rPr>
    </w:lvl>
    <w:lvl w:ilvl="8" w:tplc="ADAAE618">
      <w:numFmt w:val="bullet"/>
      <w:lvlText w:val="•"/>
      <w:lvlJc w:val="left"/>
      <w:pPr>
        <w:ind w:left="9271" w:hanging="361"/>
      </w:pPr>
      <w:rPr>
        <w:rFonts w:hint="default"/>
        <w:lang w:val="pl-PL" w:eastAsia="en-US" w:bidi="ar-SA"/>
      </w:rPr>
    </w:lvl>
  </w:abstractNum>
  <w:abstractNum w:abstractNumId="4" w15:restartNumberingAfterBreak="0">
    <w:nsid w:val="09693C7D"/>
    <w:multiLevelType w:val="hybridMultilevel"/>
    <w:tmpl w:val="79589874"/>
    <w:lvl w:ilvl="0" w:tplc="390A8FF4">
      <w:start w:val="1"/>
      <w:numFmt w:val="decimal"/>
      <w:lvlText w:val="%1."/>
      <w:lvlJc w:val="left"/>
      <w:pPr>
        <w:ind w:left="1571" w:hanging="241"/>
      </w:pPr>
      <w:rPr>
        <w:rFonts w:ascii="Calibri" w:eastAsia="Calibri" w:hAnsi="Calibri" w:cs="Calibri" w:hint="default"/>
        <w:b w:val="0"/>
        <w:bCs w:val="0"/>
        <w:i w:val="0"/>
        <w:iCs w:val="0"/>
        <w:color w:val="231F20"/>
        <w:spacing w:val="0"/>
        <w:w w:val="99"/>
        <w:sz w:val="18"/>
        <w:szCs w:val="18"/>
        <w:lang w:val="pl-PL" w:eastAsia="en-US" w:bidi="ar-SA"/>
      </w:rPr>
    </w:lvl>
    <w:lvl w:ilvl="1" w:tplc="F5242330">
      <w:numFmt w:val="bullet"/>
      <w:lvlText w:val="•"/>
      <w:lvlJc w:val="left"/>
      <w:pPr>
        <w:ind w:left="2549" w:hanging="241"/>
      </w:pPr>
      <w:rPr>
        <w:rFonts w:hint="default"/>
        <w:lang w:val="pl-PL" w:eastAsia="en-US" w:bidi="ar-SA"/>
      </w:rPr>
    </w:lvl>
    <w:lvl w:ilvl="2" w:tplc="71A65894">
      <w:numFmt w:val="bullet"/>
      <w:lvlText w:val="•"/>
      <w:lvlJc w:val="left"/>
      <w:pPr>
        <w:ind w:left="3519" w:hanging="241"/>
      </w:pPr>
      <w:rPr>
        <w:rFonts w:hint="default"/>
        <w:lang w:val="pl-PL" w:eastAsia="en-US" w:bidi="ar-SA"/>
      </w:rPr>
    </w:lvl>
    <w:lvl w:ilvl="3" w:tplc="BDF268A0">
      <w:numFmt w:val="bullet"/>
      <w:lvlText w:val="•"/>
      <w:lvlJc w:val="left"/>
      <w:pPr>
        <w:ind w:left="4489" w:hanging="241"/>
      </w:pPr>
      <w:rPr>
        <w:rFonts w:hint="default"/>
        <w:lang w:val="pl-PL" w:eastAsia="en-US" w:bidi="ar-SA"/>
      </w:rPr>
    </w:lvl>
    <w:lvl w:ilvl="4" w:tplc="2A3A3BF4">
      <w:numFmt w:val="bullet"/>
      <w:lvlText w:val="•"/>
      <w:lvlJc w:val="left"/>
      <w:pPr>
        <w:ind w:left="5459" w:hanging="241"/>
      </w:pPr>
      <w:rPr>
        <w:rFonts w:hint="default"/>
        <w:lang w:val="pl-PL" w:eastAsia="en-US" w:bidi="ar-SA"/>
      </w:rPr>
    </w:lvl>
    <w:lvl w:ilvl="5" w:tplc="4E50CD9E">
      <w:numFmt w:val="bullet"/>
      <w:lvlText w:val="•"/>
      <w:lvlJc w:val="left"/>
      <w:pPr>
        <w:ind w:left="6429" w:hanging="241"/>
      </w:pPr>
      <w:rPr>
        <w:rFonts w:hint="default"/>
        <w:lang w:val="pl-PL" w:eastAsia="en-US" w:bidi="ar-SA"/>
      </w:rPr>
    </w:lvl>
    <w:lvl w:ilvl="6" w:tplc="AE662646">
      <w:numFmt w:val="bullet"/>
      <w:lvlText w:val="•"/>
      <w:lvlJc w:val="left"/>
      <w:pPr>
        <w:ind w:left="7399" w:hanging="241"/>
      </w:pPr>
      <w:rPr>
        <w:rFonts w:hint="default"/>
        <w:lang w:val="pl-PL" w:eastAsia="en-US" w:bidi="ar-SA"/>
      </w:rPr>
    </w:lvl>
    <w:lvl w:ilvl="7" w:tplc="A4C46388">
      <w:numFmt w:val="bullet"/>
      <w:lvlText w:val="•"/>
      <w:lvlJc w:val="left"/>
      <w:pPr>
        <w:ind w:left="8369" w:hanging="241"/>
      </w:pPr>
      <w:rPr>
        <w:rFonts w:hint="default"/>
        <w:lang w:val="pl-PL" w:eastAsia="en-US" w:bidi="ar-SA"/>
      </w:rPr>
    </w:lvl>
    <w:lvl w:ilvl="8" w:tplc="CCF46838">
      <w:numFmt w:val="bullet"/>
      <w:lvlText w:val="•"/>
      <w:lvlJc w:val="left"/>
      <w:pPr>
        <w:ind w:left="9339" w:hanging="241"/>
      </w:pPr>
      <w:rPr>
        <w:rFonts w:hint="default"/>
        <w:lang w:val="pl-PL" w:eastAsia="en-US" w:bidi="ar-SA"/>
      </w:rPr>
    </w:lvl>
  </w:abstractNum>
  <w:abstractNum w:abstractNumId="5" w15:restartNumberingAfterBreak="0">
    <w:nsid w:val="0BB70C2D"/>
    <w:multiLevelType w:val="hybridMultilevel"/>
    <w:tmpl w:val="82C0A9BE"/>
    <w:lvl w:ilvl="0" w:tplc="726AE86C">
      <w:numFmt w:val="bullet"/>
      <w:lvlText w:val="■"/>
      <w:lvlJc w:val="left"/>
      <w:pPr>
        <w:ind w:left="1230" w:hanging="361"/>
      </w:pPr>
      <w:rPr>
        <w:rFonts w:ascii="Arial" w:eastAsia="Arial" w:hAnsi="Arial" w:cs="Arial" w:hint="default"/>
        <w:b w:val="0"/>
        <w:bCs w:val="0"/>
        <w:i w:val="0"/>
        <w:iCs w:val="0"/>
        <w:color w:val="EC7D31"/>
        <w:spacing w:val="0"/>
        <w:w w:val="123"/>
        <w:sz w:val="18"/>
        <w:szCs w:val="18"/>
        <w:lang w:val="pl-PL" w:eastAsia="en-US" w:bidi="ar-SA"/>
      </w:rPr>
    </w:lvl>
    <w:lvl w:ilvl="1" w:tplc="06541C5E">
      <w:numFmt w:val="bullet"/>
      <w:lvlText w:val="•"/>
      <w:lvlJc w:val="left"/>
      <w:pPr>
        <w:ind w:left="2243" w:hanging="361"/>
      </w:pPr>
      <w:rPr>
        <w:rFonts w:hint="default"/>
        <w:lang w:val="pl-PL" w:eastAsia="en-US" w:bidi="ar-SA"/>
      </w:rPr>
    </w:lvl>
    <w:lvl w:ilvl="2" w:tplc="AB60378C">
      <w:numFmt w:val="bullet"/>
      <w:lvlText w:val="•"/>
      <w:lvlJc w:val="left"/>
      <w:pPr>
        <w:ind w:left="3247" w:hanging="361"/>
      </w:pPr>
      <w:rPr>
        <w:rFonts w:hint="default"/>
        <w:lang w:val="pl-PL" w:eastAsia="en-US" w:bidi="ar-SA"/>
      </w:rPr>
    </w:lvl>
    <w:lvl w:ilvl="3" w:tplc="7C182074">
      <w:numFmt w:val="bullet"/>
      <w:lvlText w:val="•"/>
      <w:lvlJc w:val="left"/>
      <w:pPr>
        <w:ind w:left="4251" w:hanging="361"/>
      </w:pPr>
      <w:rPr>
        <w:rFonts w:hint="default"/>
        <w:lang w:val="pl-PL" w:eastAsia="en-US" w:bidi="ar-SA"/>
      </w:rPr>
    </w:lvl>
    <w:lvl w:ilvl="4" w:tplc="5F8E2B70">
      <w:numFmt w:val="bullet"/>
      <w:lvlText w:val="•"/>
      <w:lvlJc w:val="left"/>
      <w:pPr>
        <w:ind w:left="5255" w:hanging="361"/>
      </w:pPr>
      <w:rPr>
        <w:rFonts w:hint="default"/>
        <w:lang w:val="pl-PL" w:eastAsia="en-US" w:bidi="ar-SA"/>
      </w:rPr>
    </w:lvl>
    <w:lvl w:ilvl="5" w:tplc="AC92E088">
      <w:numFmt w:val="bullet"/>
      <w:lvlText w:val="•"/>
      <w:lvlJc w:val="left"/>
      <w:pPr>
        <w:ind w:left="6259" w:hanging="361"/>
      </w:pPr>
      <w:rPr>
        <w:rFonts w:hint="default"/>
        <w:lang w:val="pl-PL" w:eastAsia="en-US" w:bidi="ar-SA"/>
      </w:rPr>
    </w:lvl>
    <w:lvl w:ilvl="6" w:tplc="80BADDE2">
      <w:numFmt w:val="bullet"/>
      <w:lvlText w:val="•"/>
      <w:lvlJc w:val="left"/>
      <w:pPr>
        <w:ind w:left="7263" w:hanging="361"/>
      </w:pPr>
      <w:rPr>
        <w:rFonts w:hint="default"/>
        <w:lang w:val="pl-PL" w:eastAsia="en-US" w:bidi="ar-SA"/>
      </w:rPr>
    </w:lvl>
    <w:lvl w:ilvl="7" w:tplc="EBA6FE3C">
      <w:numFmt w:val="bullet"/>
      <w:lvlText w:val="•"/>
      <w:lvlJc w:val="left"/>
      <w:pPr>
        <w:ind w:left="8267" w:hanging="361"/>
      </w:pPr>
      <w:rPr>
        <w:rFonts w:hint="default"/>
        <w:lang w:val="pl-PL" w:eastAsia="en-US" w:bidi="ar-SA"/>
      </w:rPr>
    </w:lvl>
    <w:lvl w:ilvl="8" w:tplc="06D6B7DE">
      <w:numFmt w:val="bullet"/>
      <w:lvlText w:val="•"/>
      <w:lvlJc w:val="left"/>
      <w:pPr>
        <w:ind w:left="9271" w:hanging="361"/>
      </w:pPr>
      <w:rPr>
        <w:rFonts w:hint="default"/>
        <w:lang w:val="pl-PL" w:eastAsia="en-US" w:bidi="ar-SA"/>
      </w:rPr>
    </w:lvl>
  </w:abstractNum>
  <w:abstractNum w:abstractNumId="6" w15:restartNumberingAfterBreak="0">
    <w:nsid w:val="0FA54DED"/>
    <w:multiLevelType w:val="hybridMultilevel"/>
    <w:tmpl w:val="98A44CC2"/>
    <w:lvl w:ilvl="0" w:tplc="16DC7258">
      <w:start w:val="1"/>
      <w:numFmt w:val="lowerLetter"/>
      <w:lvlText w:val="%1)"/>
      <w:lvlJc w:val="left"/>
      <w:pPr>
        <w:ind w:left="510" w:hanging="186"/>
      </w:pPr>
      <w:rPr>
        <w:rFonts w:ascii="Calibri" w:eastAsia="Calibri" w:hAnsi="Calibri" w:cs="Calibri" w:hint="default"/>
        <w:b w:val="0"/>
        <w:bCs w:val="0"/>
        <w:i w:val="0"/>
        <w:iCs w:val="0"/>
        <w:spacing w:val="0"/>
        <w:w w:val="98"/>
        <w:sz w:val="18"/>
        <w:szCs w:val="18"/>
        <w:lang w:val="pl-PL" w:eastAsia="en-US" w:bidi="ar-SA"/>
      </w:rPr>
    </w:lvl>
    <w:lvl w:ilvl="1" w:tplc="3B7A14C4">
      <w:numFmt w:val="bullet"/>
      <w:lvlText w:val="•"/>
      <w:lvlJc w:val="left"/>
      <w:pPr>
        <w:ind w:left="1595" w:hanging="186"/>
      </w:pPr>
      <w:rPr>
        <w:rFonts w:hint="default"/>
        <w:lang w:val="pl-PL" w:eastAsia="en-US" w:bidi="ar-SA"/>
      </w:rPr>
    </w:lvl>
    <w:lvl w:ilvl="2" w:tplc="F59E6046">
      <w:numFmt w:val="bullet"/>
      <w:lvlText w:val="•"/>
      <w:lvlJc w:val="left"/>
      <w:pPr>
        <w:ind w:left="2671" w:hanging="186"/>
      </w:pPr>
      <w:rPr>
        <w:rFonts w:hint="default"/>
        <w:lang w:val="pl-PL" w:eastAsia="en-US" w:bidi="ar-SA"/>
      </w:rPr>
    </w:lvl>
    <w:lvl w:ilvl="3" w:tplc="EF505AE8">
      <w:numFmt w:val="bullet"/>
      <w:lvlText w:val="•"/>
      <w:lvlJc w:val="left"/>
      <w:pPr>
        <w:ind w:left="3747" w:hanging="186"/>
      </w:pPr>
      <w:rPr>
        <w:rFonts w:hint="default"/>
        <w:lang w:val="pl-PL" w:eastAsia="en-US" w:bidi="ar-SA"/>
      </w:rPr>
    </w:lvl>
    <w:lvl w:ilvl="4" w:tplc="E31E8324">
      <w:numFmt w:val="bullet"/>
      <w:lvlText w:val="•"/>
      <w:lvlJc w:val="left"/>
      <w:pPr>
        <w:ind w:left="4823" w:hanging="186"/>
      </w:pPr>
      <w:rPr>
        <w:rFonts w:hint="default"/>
        <w:lang w:val="pl-PL" w:eastAsia="en-US" w:bidi="ar-SA"/>
      </w:rPr>
    </w:lvl>
    <w:lvl w:ilvl="5" w:tplc="71CE4C8A">
      <w:numFmt w:val="bullet"/>
      <w:lvlText w:val="•"/>
      <w:lvlJc w:val="left"/>
      <w:pPr>
        <w:ind w:left="5899" w:hanging="186"/>
      </w:pPr>
      <w:rPr>
        <w:rFonts w:hint="default"/>
        <w:lang w:val="pl-PL" w:eastAsia="en-US" w:bidi="ar-SA"/>
      </w:rPr>
    </w:lvl>
    <w:lvl w:ilvl="6" w:tplc="D85849B8">
      <w:numFmt w:val="bullet"/>
      <w:lvlText w:val="•"/>
      <w:lvlJc w:val="left"/>
      <w:pPr>
        <w:ind w:left="6975" w:hanging="186"/>
      </w:pPr>
      <w:rPr>
        <w:rFonts w:hint="default"/>
        <w:lang w:val="pl-PL" w:eastAsia="en-US" w:bidi="ar-SA"/>
      </w:rPr>
    </w:lvl>
    <w:lvl w:ilvl="7" w:tplc="A7644F72">
      <w:numFmt w:val="bullet"/>
      <w:lvlText w:val="•"/>
      <w:lvlJc w:val="left"/>
      <w:pPr>
        <w:ind w:left="8051" w:hanging="186"/>
      </w:pPr>
      <w:rPr>
        <w:rFonts w:hint="default"/>
        <w:lang w:val="pl-PL" w:eastAsia="en-US" w:bidi="ar-SA"/>
      </w:rPr>
    </w:lvl>
    <w:lvl w:ilvl="8" w:tplc="2EAA8A9C">
      <w:numFmt w:val="bullet"/>
      <w:lvlText w:val="•"/>
      <w:lvlJc w:val="left"/>
      <w:pPr>
        <w:ind w:left="9127" w:hanging="186"/>
      </w:pPr>
      <w:rPr>
        <w:rFonts w:hint="default"/>
        <w:lang w:val="pl-PL" w:eastAsia="en-US" w:bidi="ar-SA"/>
      </w:rPr>
    </w:lvl>
  </w:abstractNum>
  <w:abstractNum w:abstractNumId="7" w15:restartNumberingAfterBreak="0">
    <w:nsid w:val="12D64862"/>
    <w:multiLevelType w:val="hybridMultilevel"/>
    <w:tmpl w:val="361C1A76"/>
    <w:lvl w:ilvl="0" w:tplc="9F02B0DE">
      <w:start w:val="1"/>
      <w:numFmt w:val="lowerLetter"/>
      <w:lvlText w:val="%1)"/>
      <w:lvlJc w:val="left"/>
      <w:pPr>
        <w:ind w:left="1545" w:hanging="238"/>
      </w:pPr>
      <w:rPr>
        <w:rFonts w:ascii="Calibri" w:eastAsia="Calibri" w:hAnsi="Calibri" w:cs="Calibri" w:hint="default"/>
        <w:b w:val="0"/>
        <w:bCs w:val="0"/>
        <w:i w:val="0"/>
        <w:iCs w:val="0"/>
        <w:spacing w:val="-1"/>
        <w:w w:val="98"/>
        <w:sz w:val="18"/>
        <w:szCs w:val="18"/>
        <w:lang w:val="pl-PL" w:eastAsia="en-US" w:bidi="ar-SA"/>
      </w:rPr>
    </w:lvl>
    <w:lvl w:ilvl="1" w:tplc="CEA2CFEC">
      <w:numFmt w:val="bullet"/>
      <w:lvlText w:val="•"/>
      <w:lvlJc w:val="left"/>
      <w:pPr>
        <w:ind w:left="2513" w:hanging="238"/>
      </w:pPr>
      <w:rPr>
        <w:rFonts w:hint="default"/>
        <w:lang w:val="pl-PL" w:eastAsia="en-US" w:bidi="ar-SA"/>
      </w:rPr>
    </w:lvl>
    <w:lvl w:ilvl="2" w:tplc="23025800">
      <w:numFmt w:val="bullet"/>
      <w:lvlText w:val="•"/>
      <w:lvlJc w:val="left"/>
      <w:pPr>
        <w:ind w:left="3487" w:hanging="238"/>
      </w:pPr>
      <w:rPr>
        <w:rFonts w:hint="default"/>
        <w:lang w:val="pl-PL" w:eastAsia="en-US" w:bidi="ar-SA"/>
      </w:rPr>
    </w:lvl>
    <w:lvl w:ilvl="3" w:tplc="5F4C834A">
      <w:numFmt w:val="bullet"/>
      <w:lvlText w:val="•"/>
      <w:lvlJc w:val="left"/>
      <w:pPr>
        <w:ind w:left="4461" w:hanging="238"/>
      </w:pPr>
      <w:rPr>
        <w:rFonts w:hint="default"/>
        <w:lang w:val="pl-PL" w:eastAsia="en-US" w:bidi="ar-SA"/>
      </w:rPr>
    </w:lvl>
    <w:lvl w:ilvl="4" w:tplc="5432901C">
      <w:numFmt w:val="bullet"/>
      <w:lvlText w:val="•"/>
      <w:lvlJc w:val="left"/>
      <w:pPr>
        <w:ind w:left="5435" w:hanging="238"/>
      </w:pPr>
      <w:rPr>
        <w:rFonts w:hint="default"/>
        <w:lang w:val="pl-PL" w:eastAsia="en-US" w:bidi="ar-SA"/>
      </w:rPr>
    </w:lvl>
    <w:lvl w:ilvl="5" w:tplc="EB5CD162">
      <w:numFmt w:val="bullet"/>
      <w:lvlText w:val="•"/>
      <w:lvlJc w:val="left"/>
      <w:pPr>
        <w:ind w:left="6409" w:hanging="238"/>
      </w:pPr>
      <w:rPr>
        <w:rFonts w:hint="default"/>
        <w:lang w:val="pl-PL" w:eastAsia="en-US" w:bidi="ar-SA"/>
      </w:rPr>
    </w:lvl>
    <w:lvl w:ilvl="6" w:tplc="1F16D364">
      <w:numFmt w:val="bullet"/>
      <w:lvlText w:val="•"/>
      <w:lvlJc w:val="left"/>
      <w:pPr>
        <w:ind w:left="7383" w:hanging="238"/>
      </w:pPr>
      <w:rPr>
        <w:rFonts w:hint="default"/>
        <w:lang w:val="pl-PL" w:eastAsia="en-US" w:bidi="ar-SA"/>
      </w:rPr>
    </w:lvl>
    <w:lvl w:ilvl="7" w:tplc="382C4F22">
      <w:numFmt w:val="bullet"/>
      <w:lvlText w:val="•"/>
      <w:lvlJc w:val="left"/>
      <w:pPr>
        <w:ind w:left="8357" w:hanging="238"/>
      </w:pPr>
      <w:rPr>
        <w:rFonts w:hint="default"/>
        <w:lang w:val="pl-PL" w:eastAsia="en-US" w:bidi="ar-SA"/>
      </w:rPr>
    </w:lvl>
    <w:lvl w:ilvl="8" w:tplc="64BC1FE2">
      <w:numFmt w:val="bullet"/>
      <w:lvlText w:val="•"/>
      <w:lvlJc w:val="left"/>
      <w:pPr>
        <w:ind w:left="9331" w:hanging="238"/>
      </w:pPr>
      <w:rPr>
        <w:rFonts w:hint="default"/>
        <w:lang w:val="pl-PL" w:eastAsia="en-US" w:bidi="ar-SA"/>
      </w:rPr>
    </w:lvl>
  </w:abstractNum>
  <w:abstractNum w:abstractNumId="8" w15:restartNumberingAfterBreak="0">
    <w:nsid w:val="154938EC"/>
    <w:multiLevelType w:val="hybridMultilevel"/>
    <w:tmpl w:val="D37E0CF0"/>
    <w:lvl w:ilvl="0" w:tplc="D5BE8C9C">
      <w:numFmt w:val="bullet"/>
      <w:lvlText w:val="-"/>
      <w:lvlJc w:val="left"/>
      <w:pPr>
        <w:ind w:left="510" w:hanging="96"/>
      </w:pPr>
      <w:rPr>
        <w:rFonts w:ascii="Calibri" w:eastAsia="Calibri" w:hAnsi="Calibri" w:cs="Calibri" w:hint="default"/>
        <w:b w:val="0"/>
        <w:bCs w:val="0"/>
        <w:i w:val="0"/>
        <w:iCs w:val="0"/>
        <w:spacing w:val="0"/>
        <w:w w:val="100"/>
        <w:sz w:val="18"/>
        <w:szCs w:val="18"/>
        <w:lang w:val="pl-PL" w:eastAsia="en-US" w:bidi="ar-SA"/>
      </w:rPr>
    </w:lvl>
    <w:lvl w:ilvl="1" w:tplc="D08ACA20">
      <w:numFmt w:val="bullet"/>
      <w:lvlText w:val="•"/>
      <w:lvlJc w:val="left"/>
      <w:pPr>
        <w:ind w:left="1595" w:hanging="96"/>
      </w:pPr>
      <w:rPr>
        <w:rFonts w:hint="default"/>
        <w:lang w:val="pl-PL" w:eastAsia="en-US" w:bidi="ar-SA"/>
      </w:rPr>
    </w:lvl>
    <w:lvl w:ilvl="2" w:tplc="ECA62420">
      <w:numFmt w:val="bullet"/>
      <w:lvlText w:val="•"/>
      <w:lvlJc w:val="left"/>
      <w:pPr>
        <w:ind w:left="2671" w:hanging="96"/>
      </w:pPr>
      <w:rPr>
        <w:rFonts w:hint="default"/>
        <w:lang w:val="pl-PL" w:eastAsia="en-US" w:bidi="ar-SA"/>
      </w:rPr>
    </w:lvl>
    <w:lvl w:ilvl="3" w:tplc="276C9E0C">
      <w:numFmt w:val="bullet"/>
      <w:lvlText w:val="•"/>
      <w:lvlJc w:val="left"/>
      <w:pPr>
        <w:ind w:left="3747" w:hanging="96"/>
      </w:pPr>
      <w:rPr>
        <w:rFonts w:hint="default"/>
        <w:lang w:val="pl-PL" w:eastAsia="en-US" w:bidi="ar-SA"/>
      </w:rPr>
    </w:lvl>
    <w:lvl w:ilvl="4" w:tplc="AF6A2036">
      <w:numFmt w:val="bullet"/>
      <w:lvlText w:val="•"/>
      <w:lvlJc w:val="left"/>
      <w:pPr>
        <w:ind w:left="4823" w:hanging="96"/>
      </w:pPr>
      <w:rPr>
        <w:rFonts w:hint="default"/>
        <w:lang w:val="pl-PL" w:eastAsia="en-US" w:bidi="ar-SA"/>
      </w:rPr>
    </w:lvl>
    <w:lvl w:ilvl="5" w:tplc="00EEE65A">
      <w:numFmt w:val="bullet"/>
      <w:lvlText w:val="•"/>
      <w:lvlJc w:val="left"/>
      <w:pPr>
        <w:ind w:left="5899" w:hanging="96"/>
      </w:pPr>
      <w:rPr>
        <w:rFonts w:hint="default"/>
        <w:lang w:val="pl-PL" w:eastAsia="en-US" w:bidi="ar-SA"/>
      </w:rPr>
    </w:lvl>
    <w:lvl w:ilvl="6" w:tplc="C7D03200">
      <w:numFmt w:val="bullet"/>
      <w:lvlText w:val="•"/>
      <w:lvlJc w:val="left"/>
      <w:pPr>
        <w:ind w:left="6975" w:hanging="96"/>
      </w:pPr>
      <w:rPr>
        <w:rFonts w:hint="default"/>
        <w:lang w:val="pl-PL" w:eastAsia="en-US" w:bidi="ar-SA"/>
      </w:rPr>
    </w:lvl>
    <w:lvl w:ilvl="7" w:tplc="73DE969A">
      <w:numFmt w:val="bullet"/>
      <w:lvlText w:val="•"/>
      <w:lvlJc w:val="left"/>
      <w:pPr>
        <w:ind w:left="8051" w:hanging="96"/>
      </w:pPr>
      <w:rPr>
        <w:rFonts w:hint="default"/>
        <w:lang w:val="pl-PL" w:eastAsia="en-US" w:bidi="ar-SA"/>
      </w:rPr>
    </w:lvl>
    <w:lvl w:ilvl="8" w:tplc="196E138A">
      <w:numFmt w:val="bullet"/>
      <w:lvlText w:val="•"/>
      <w:lvlJc w:val="left"/>
      <w:pPr>
        <w:ind w:left="9127" w:hanging="96"/>
      </w:pPr>
      <w:rPr>
        <w:rFonts w:hint="default"/>
        <w:lang w:val="pl-PL" w:eastAsia="en-US" w:bidi="ar-SA"/>
      </w:rPr>
    </w:lvl>
  </w:abstractNum>
  <w:abstractNum w:abstractNumId="9" w15:restartNumberingAfterBreak="0">
    <w:nsid w:val="23EE08D7"/>
    <w:multiLevelType w:val="multilevel"/>
    <w:tmpl w:val="C10A2E12"/>
    <w:lvl w:ilvl="0">
      <w:start w:val="1"/>
      <w:numFmt w:val="decimal"/>
      <w:lvlText w:val="%1"/>
      <w:lvlJc w:val="left"/>
      <w:pPr>
        <w:ind w:left="510" w:hanging="313"/>
      </w:pPr>
      <w:rPr>
        <w:rFonts w:hint="default"/>
        <w:lang w:val="pl-PL" w:eastAsia="en-US" w:bidi="ar-SA"/>
      </w:rPr>
    </w:lvl>
    <w:lvl w:ilvl="1">
      <w:start w:val="4"/>
      <w:numFmt w:val="decimal"/>
      <w:lvlText w:val="%1.%2."/>
      <w:lvlJc w:val="left"/>
      <w:pPr>
        <w:ind w:left="510" w:hanging="313"/>
      </w:pPr>
      <w:rPr>
        <w:rFonts w:ascii="Calibri" w:eastAsia="Calibri" w:hAnsi="Calibri" w:cs="Calibri" w:hint="default"/>
        <w:b w:val="0"/>
        <w:bCs w:val="0"/>
        <w:i w:val="0"/>
        <w:iCs w:val="0"/>
        <w:color w:val="231F20"/>
        <w:spacing w:val="0"/>
        <w:w w:val="97"/>
        <w:sz w:val="18"/>
        <w:szCs w:val="18"/>
        <w:lang w:val="pl-PL" w:eastAsia="en-US" w:bidi="ar-SA"/>
      </w:rPr>
    </w:lvl>
    <w:lvl w:ilvl="2">
      <w:start w:val="1"/>
      <w:numFmt w:val="decimal"/>
      <w:lvlText w:val="%1.%2.%3."/>
      <w:lvlJc w:val="left"/>
      <w:pPr>
        <w:ind w:left="510" w:hanging="448"/>
      </w:pPr>
      <w:rPr>
        <w:rFonts w:ascii="Calibri" w:eastAsia="Calibri" w:hAnsi="Calibri" w:cs="Calibri" w:hint="default"/>
        <w:b w:val="0"/>
        <w:bCs w:val="0"/>
        <w:i w:val="0"/>
        <w:iCs w:val="0"/>
        <w:color w:val="231F20"/>
        <w:spacing w:val="0"/>
        <w:w w:val="97"/>
        <w:sz w:val="18"/>
        <w:szCs w:val="18"/>
        <w:lang w:val="pl-PL" w:eastAsia="en-US" w:bidi="ar-SA"/>
      </w:rPr>
    </w:lvl>
    <w:lvl w:ilvl="3">
      <w:numFmt w:val="bullet"/>
      <w:lvlText w:val="•"/>
      <w:lvlJc w:val="left"/>
      <w:pPr>
        <w:ind w:left="3747" w:hanging="448"/>
      </w:pPr>
      <w:rPr>
        <w:rFonts w:hint="default"/>
        <w:lang w:val="pl-PL" w:eastAsia="en-US" w:bidi="ar-SA"/>
      </w:rPr>
    </w:lvl>
    <w:lvl w:ilvl="4">
      <w:numFmt w:val="bullet"/>
      <w:lvlText w:val="•"/>
      <w:lvlJc w:val="left"/>
      <w:pPr>
        <w:ind w:left="4823" w:hanging="448"/>
      </w:pPr>
      <w:rPr>
        <w:rFonts w:hint="default"/>
        <w:lang w:val="pl-PL" w:eastAsia="en-US" w:bidi="ar-SA"/>
      </w:rPr>
    </w:lvl>
    <w:lvl w:ilvl="5">
      <w:numFmt w:val="bullet"/>
      <w:lvlText w:val="•"/>
      <w:lvlJc w:val="left"/>
      <w:pPr>
        <w:ind w:left="5899" w:hanging="448"/>
      </w:pPr>
      <w:rPr>
        <w:rFonts w:hint="default"/>
        <w:lang w:val="pl-PL" w:eastAsia="en-US" w:bidi="ar-SA"/>
      </w:rPr>
    </w:lvl>
    <w:lvl w:ilvl="6">
      <w:numFmt w:val="bullet"/>
      <w:lvlText w:val="•"/>
      <w:lvlJc w:val="left"/>
      <w:pPr>
        <w:ind w:left="6975" w:hanging="448"/>
      </w:pPr>
      <w:rPr>
        <w:rFonts w:hint="default"/>
        <w:lang w:val="pl-PL" w:eastAsia="en-US" w:bidi="ar-SA"/>
      </w:rPr>
    </w:lvl>
    <w:lvl w:ilvl="7">
      <w:numFmt w:val="bullet"/>
      <w:lvlText w:val="•"/>
      <w:lvlJc w:val="left"/>
      <w:pPr>
        <w:ind w:left="8051" w:hanging="448"/>
      </w:pPr>
      <w:rPr>
        <w:rFonts w:hint="default"/>
        <w:lang w:val="pl-PL" w:eastAsia="en-US" w:bidi="ar-SA"/>
      </w:rPr>
    </w:lvl>
    <w:lvl w:ilvl="8">
      <w:numFmt w:val="bullet"/>
      <w:lvlText w:val="•"/>
      <w:lvlJc w:val="left"/>
      <w:pPr>
        <w:ind w:left="9127" w:hanging="448"/>
      </w:pPr>
      <w:rPr>
        <w:rFonts w:hint="default"/>
        <w:lang w:val="pl-PL" w:eastAsia="en-US" w:bidi="ar-SA"/>
      </w:rPr>
    </w:lvl>
  </w:abstractNum>
  <w:abstractNum w:abstractNumId="10" w15:restartNumberingAfterBreak="0">
    <w:nsid w:val="24BF5E4E"/>
    <w:multiLevelType w:val="hybridMultilevel"/>
    <w:tmpl w:val="609E0006"/>
    <w:lvl w:ilvl="0" w:tplc="45FEAEBC">
      <w:start w:val="1"/>
      <w:numFmt w:val="lowerLetter"/>
      <w:lvlText w:val="%1)"/>
      <w:lvlJc w:val="left"/>
      <w:pPr>
        <w:ind w:left="510" w:hanging="180"/>
      </w:pPr>
      <w:rPr>
        <w:rFonts w:ascii="Calibri" w:eastAsia="Calibri" w:hAnsi="Calibri" w:cs="Calibri" w:hint="default"/>
        <w:b w:val="0"/>
        <w:bCs w:val="0"/>
        <w:i w:val="0"/>
        <w:iCs w:val="0"/>
        <w:spacing w:val="0"/>
        <w:w w:val="98"/>
        <w:sz w:val="18"/>
        <w:szCs w:val="18"/>
        <w:lang w:val="pl-PL" w:eastAsia="en-US" w:bidi="ar-SA"/>
      </w:rPr>
    </w:lvl>
    <w:lvl w:ilvl="1" w:tplc="E004A0CA">
      <w:numFmt w:val="bullet"/>
      <w:lvlText w:val="•"/>
      <w:lvlJc w:val="left"/>
      <w:pPr>
        <w:ind w:left="1595" w:hanging="180"/>
      </w:pPr>
      <w:rPr>
        <w:rFonts w:hint="default"/>
        <w:lang w:val="pl-PL" w:eastAsia="en-US" w:bidi="ar-SA"/>
      </w:rPr>
    </w:lvl>
    <w:lvl w:ilvl="2" w:tplc="091E4288">
      <w:numFmt w:val="bullet"/>
      <w:lvlText w:val="•"/>
      <w:lvlJc w:val="left"/>
      <w:pPr>
        <w:ind w:left="2671" w:hanging="180"/>
      </w:pPr>
      <w:rPr>
        <w:rFonts w:hint="default"/>
        <w:lang w:val="pl-PL" w:eastAsia="en-US" w:bidi="ar-SA"/>
      </w:rPr>
    </w:lvl>
    <w:lvl w:ilvl="3" w:tplc="BEAEC89A">
      <w:numFmt w:val="bullet"/>
      <w:lvlText w:val="•"/>
      <w:lvlJc w:val="left"/>
      <w:pPr>
        <w:ind w:left="3747" w:hanging="180"/>
      </w:pPr>
      <w:rPr>
        <w:rFonts w:hint="default"/>
        <w:lang w:val="pl-PL" w:eastAsia="en-US" w:bidi="ar-SA"/>
      </w:rPr>
    </w:lvl>
    <w:lvl w:ilvl="4" w:tplc="5FB4FAE2">
      <w:numFmt w:val="bullet"/>
      <w:lvlText w:val="•"/>
      <w:lvlJc w:val="left"/>
      <w:pPr>
        <w:ind w:left="4823" w:hanging="180"/>
      </w:pPr>
      <w:rPr>
        <w:rFonts w:hint="default"/>
        <w:lang w:val="pl-PL" w:eastAsia="en-US" w:bidi="ar-SA"/>
      </w:rPr>
    </w:lvl>
    <w:lvl w:ilvl="5" w:tplc="790AECDC">
      <w:numFmt w:val="bullet"/>
      <w:lvlText w:val="•"/>
      <w:lvlJc w:val="left"/>
      <w:pPr>
        <w:ind w:left="5899" w:hanging="180"/>
      </w:pPr>
      <w:rPr>
        <w:rFonts w:hint="default"/>
        <w:lang w:val="pl-PL" w:eastAsia="en-US" w:bidi="ar-SA"/>
      </w:rPr>
    </w:lvl>
    <w:lvl w:ilvl="6" w:tplc="739EF2DA">
      <w:numFmt w:val="bullet"/>
      <w:lvlText w:val="•"/>
      <w:lvlJc w:val="left"/>
      <w:pPr>
        <w:ind w:left="6975" w:hanging="180"/>
      </w:pPr>
      <w:rPr>
        <w:rFonts w:hint="default"/>
        <w:lang w:val="pl-PL" w:eastAsia="en-US" w:bidi="ar-SA"/>
      </w:rPr>
    </w:lvl>
    <w:lvl w:ilvl="7" w:tplc="4866C276">
      <w:numFmt w:val="bullet"/>
      <w:lvlText w:val="•"/>
      <w:lvlJc w:val="left"/>
      <w:pPr>
        <w:ind w:left="8051" w:hanging="180"/>
      </w:pPr>
      <w:rPr>
        <w:rFonts w:hint="default"/>
        <w:lang w:val="pl-PL" w:eastAsia="en-US" w:bidi="ar-SA"/>
      </w:rPr>
    </w:lvl>
    <w:lvl w:ilvl="8" w:tplc="BFB658A6">
      <w:numFmt w:val="bullet"/>
      <w:lvlText w:val="•"/>
      <w:lvlJc w:val="left"/>
      <w:pPr>
        <w:ind w:left="9127" w:hanging="180"/>
      </w:pPr>
      <w:rPr>
        <w:rFonts w:hint="default"/>
        <w:lang w:val="pl-PL" w:eastAsia="en-US" w:bidi="ar-SA"/>
      </w:rPr>
    </w:lvl>
  </w:abstractNum>
  <w:abstractNum w:abstractNumId="11" w15:restartNumberingAfterBreak="0">
    <w:nsid w:val="29705B57"/>
    <w:multiLevelType w:val="hybridMultilevel"/>
    <w:tmpl w:val="C02A7EAE"/>
    <w:lvl w:ilvl="0" w:tplc="5B2878E8">
      <w:numFmt w:val="bullet"/>
      <w:lvlText w:val="■"/>
      <w:lvlJc w:val="left"/>
      <w:pPr>
        <w:ind w:left="1590" w:hanging="361"/>
      </w:pPr>
      <w:rPr>
        <w:rFonts w:ascii="Arial" w:eastAsia="Arial" w:hAnsi="Arial" w:cs="Arial" w:hint="default"/>
        <w:b w:val="0"/>
        <w:bCs w:val="0"/>
        <w:i w:val="0"/>
        <w:iCs w:val="0"/>
        <w:color w:val="EC7D31"/>
        <w:spacing w:val="0"/>
        <w:w w:val="123"/>
        <w:sz w:val="18"/>
        <w:szCs w:val="18"/>
        <w:lang w:val="pl-PL" w:eastAsia="en-US" w:bidi="ar-SA"/>
      </w:rPr>
    </w:lvl>
    <w:lvl w:ilvl="1" w:tplc="C838C5FC">
      <w:numFmt w:val="bullet"/>
      <w:lvlText w:val="•"/>
      <w:lvlJc w:val="left"/>
      <w:pPr>
        <w:ind w:left="2567" w:hanging="361"/>
      </w:pPr>
      <w:rPr>
        <w:rFonts w:hint="default"/>
        <w:lang w:val="pl-PL" w:eastAsia="en-US" w:bidi="ar-SA"/>
      </w:rPr>
    </w:lvl>
    <w:lvl w:ilvl="2" w:tplc="C98EE1C6">
      <w:numFmt w:val="bullet"/>
      <w:lvlText w:val="•"/>
      <w:lvlJc w:val="left"/>
      <w:pPr>
        <w:ind w:left="3535" w:hanging="361"/>
      </w:pPr>
      <w:rPr>
        <w:rFonts w:hint="default"/>
        <w:lang w:val="pl-PL" w:eastAsia="en-US" w:bidi="ar-SA"/>
      </w:rPr>
    </w:lvl>
    <w:lvl w:ilvl="3" w:tplc="12D6E860">
      <w:numFmt w:val="bullet"/>
      <w:lvlText w:val="•"/>
      <w:lvlJc w:val="left"/>
      <w:pPr>
        <w:ind w:left="4503" w:hanging="361"/>
      </w:pPr>
      <w:rPr>
        <w:rFonts w:hint="default"/>
        <w:lang w:val="pl-PL" w:eastAsia="en-US" w:bidi="ar-SA"/>
      </w:rPr>
    </w:lvl>
    <w:lvl w:ilvl="4" w:tplc="3B522D08">
      <w:numFmt w:val="bullet"/>
      <w:lvlText w:val="•"/>
      <w:lvlJc w:val="left"/>
      <w:pPr>
        <w:ind w:left="5471" w:hanging="361"/>
      </w:pPr>
      <w:rPr>
        <w:rFonts w:hint="default"/>
        <w:lang w:val="pl-PL" w:eastAsia="en-US" w:bidi="ar-SA"/>
      </w:rPr>
    </w:lvl>
    <w:lvl w:ilvl="5" w:tplc="E30AB70C">
      <w:numFmt w:val="bullet"/>
      <w:lvlText w:val="•"/>
      <w:lvlJc w:val="left"/>
      <w:pPr>
        <w:ind w:left="6439" w:hanging="361"/>
      </w:pPr>
      <w:rPr>
        <w:rFonts w:hint="default"/>
        <w:lang w:val="pl-PL" w:eastAsia="en-US" w:bidi="ar-SA"/>
      </w:rPr>
    </w:lvl>
    <w:lvl w:ilvl="6" w:tplc="D33E6D9C">
      <w:numFmt w:val="bullet"/>
      <w:lvlText w:val="•"/>
      <w:lvlJc w:val="left"/>
      <w:pPr>
        <w:ind w:left="7407" w:hanging="361"/>
      </w:pPr>
      <w:rPr>
        <w:rFonts w:hint="default"/>
        <w:lang w:val="pl-PL" w:eastAsia="en-US" w:bidi="ar-SA"/>
      </w:rPr>
    </w:lvl>
    <w:lvl w:ilvl="7" w:tplc="981860F6">
      <w:numFmt w:val="bullet"/>
      <w:lvlText w:val="•"/>
      <w:lvlJc w:val="left"/>
      <w:pPr>
        <w:ind w:left="8375" w:hanging="361"/>
      </w:pPr>
      <w:rPr>
        <w:rFonts w:hint="default"/>
        <w:lang w:val="pl-PL" w:eastAsia="en-US" w:bidi="ar-SA"/>
      </w:rPr>
    </w:lvl>
    <w:lvl w:ilvl="8" w:tplc="362EEEC0">
      <w:numFmt w:val="bullet"/>
      <w:lvlText w:val="•"/>
      <w:lvlJc w:val="left"/>
      <w:pPr>
        <w:ind w:left="9343" w:hanging="361"/>
      </w:pPr>
      <w:rPr>
        <w:rFonts w:hint="default"/>
        <w:lang w:val="pl-PL" w:eastAsia="en-US" w:bidi="ar-SA"/>
      </w:rPr>
    </w:lvl>
  </w:abstractNum>
  <w:abstractNum w:abstractNumId="12" w15:restartNumberingAfterBreak="0">
    <w:nsid w:val="2A41478D"/>
    <w:multiLevelType w:val="hybridMultilevel"/>
    <w:tmpl w:val="47504506"/>
    <w:lvl w:ilvl="0" w:tplc="58620CF0">
      <w:start w:val="1"/>
      <w:numFmt w:val="decimal"/>
      <w:lvlText w:val="%1."/>
      <w:lvlJc w:val="left"/>
      <w:pPr>
        <w:ind w:left="1838" w:hanging="365"/>
      </w:pPr>
      <w:rPr>
        <w:rFonts w:ascii="Calibri" w:eastAsia="Calibri" w:hAnsi="Calibri" w:cs="Calibri" w:hint="default"/>
        <w:b w:val="0"/>
        <w:bCs w:val="0"/>
        <w:i w:val="0"/>
        <w:iCs w:val="0"/>
        <w:spacing w:val="-1"/>
        <w:w w:val="99"/>
        <w:sz w:val="20"/>
        <w:szCs w:val="20"/>
        <w:lang w:val="pl-PL" w:eastAsia="en-US" w:bidi="ar-SA"/>
      </w:rPr>
    </w:lvl>
    <w:lvl w:ilvl="1" w:tplc="B802DCCA">
      <w:numFmt w:val="bullet"/>
      <w:lvlText w:val="•"/>
      <w:lvlJc w:val="left"/>
      <w:pPr>
        <w:ind w:left="2783" w:hanging="365"/>
      </w:pPr>
      <w:rPr>
        <w:rFonts w:hint="default"/>
        <w:lang w:val="pl-PL" w:eastAsia="en-US" w:bidi="ar-SA"/>
      </w:rPr>
    </w:lvl>
    <w:lvl w:ilvl="2" w:tplc="CFFCA5DA">
      <w:numFmt w:val="bullet"/>
      <w:lvlText w:val="•"/>
      <w:lvlJc w:val="left"/>
      <w:pPr>
        <w:ind w:left="3727" w:hanging="365"/>
      </w:pPr>
      <w:rPr>
        <w:rFonts w:hint="default"/>
        <w:lang w:val="pl-PL" w:eastAsia="en-US" w:bidi="ar-SA"/>
      </w:rPr>
    </w:lvl>
    <w:lvl w:ilvl="3" w:tplc="13589E40">
      <w:numFmt w:val="bullet"/>
      <w:lvlText w:val="•"/>
      <w:lvlJc w:val="left"/>
      <w:pPr>
        <w:ind w:left="4671" w:hanging="365"/>
      </w:pPr>
      <w:rPr>
        <w:rFonts w:hint="default"/>
        <w:lang w:val="pl-PL" w:eastAsia="en-US" w:bidi="ar-SA"/>
      </w:rPr>
    </w:lvl>
    <w:lvl w:ilvl="4" w:tplc="6EC634C2">
      <w:numFmt w:val="bullet"/>
      <w:lvlText w:val="•"/>
      <w:lvlJc w:val="left"/>
      <w:pPr>
        <w:ind w:left="5615" w:hanging="365"/>
      </w:pPr>
      <w:rPr>
        <w:rFonts w:hint="default"/>
        <w:lang w:val="pl-PL" w:eastAsia="en-US" w:bidi="ar-SA"/>
      </w:rPr>
    </w:lvl>
    <w:lvl w:ilvl="5" w:tplc="77E02F04">
      <w:numFmt w:val="bullet"/>
      <w:lvlText w:val="•"/>
      <w:lvlJc w:val="left"/>
      <w:pPr>
        <w:ind w:left="6559" w:hanging="365"/>
      </w:pPr>
      <w:rPr>
        <w:rFonts w:hint="default"/>
        <w:lang w:val="pl-PL" w:eastAsia="en-US" w:bidi="ar-SA"/>
      </w:rPr>
    </w:lvl>
    <w:lvl w:ilvl="6" w:tplc="100C1A96">
      <w:numFmt w:val="bullet"/>
      <w:lvlText w:val="•"/>
      <w:lvlJc w:val="left"/>
      <w:pPr>
        <w:ind w:left="7503" w:hanging="365"/>
      </w:pPr>
      <w:rPr>
        <w:rFonts w:hint="default"/>
        <w:lang w:val="pl-PL" w:eastAsia="en-US" w:bidi="ar-SA"/>
      </w:rPr>
    </w:lvl>
    <w:lvl w:ilvl="7" w:tplc="40DEE468">
      <w:numFmt w:val="bullet"/>
      <w:lvlText w:val="•"/>
      <w:lvlJc w:val="left"/>
      <w:pPr>
        <w:ind w:left="8447" w:hanging="365"/>
      </w:pPr>
      <w:rPr>
        <w:rFonts w:hint="default"/>
        <w:lang w:val="pl-PL" w:eastAsia="en-US" w:bidi="ar-SA"/>
      </w:rPr>
    </w:lvl>
    <w:lvl w:ilvl="8" w:tplc="F1E0C86A">
      <w:numFmt w:val="bullet"/>
      <w:lvlText w:val="•"/>
      <w:lvlJc w:val="left"/>
      <w:pPr>
        <w:ind w:left="9391" w:hanging="365"/>
      </w:pPr>
      <w:rPr>
        <w:rFonts w:hint="default"/>
        <w:lang w:val="pl-PL" w:eastAsia="en-US" w:bidi="ar-SA"/>
      </w:rPr>
    </w:lvl>
  </w:abstractNum>
  <w:abstractNum w:abstractNumId="13" w15:restartNumberingAfterBreak="0">
    <w:nsid w:val="2EAD52B5"/>
    <w:multiLevelType w:val="hybridMultilevel"/>
    <w:tmpl w:val="5ADE5F36"/>
    <w:lvl w:ilvl="0" w:tplc="32900460">
      <w:start w:val="1"/>
      <w:numFmt w:val="lowerRoman"/>
      <w:lvlText w:val="%1."/>
      <w:lvlJc w:val="left"/>
      <w:pPr>
        <w:ind w:left="361" w:hanging="141"/>
        <w:jc w:val="right"/>
      </w:pPr>
      <w:rPr>
        <w:rFonts w:ascii="Calibri" w:eastAsia="Calibri" w:hAnsi="Calibri" w:cs="Calibri" w:hint="default"/>
        <w:b w:val="0"/>
        <w:bCs w:val="0"/>
        <w:i w:val="0"/>
        <w:iCs w:val="0"/>
        <w:spacing w:val="-1"/>
        <w:w w:val="99"/>
        <w:sz w:val="20"/>
        <w:szCs w:val="20"/>
        <w:lang w:val="pl-PL" w:eastAsia="en-US" w:bidi="ar-SA"/>
      </w:rPr>
    </w:lvl>
    <w:lvl w:ilvl="1" w:tplc="345E44D4">
      <w:numFmt w:val="bullet"/>
      <w:lvlText w:val="•"/>
      <w:lvlJc w:val="left"/>
      <w:pPr>
        <w:ind w:left="954" w:hanging="141"/>
      </w:pPr>
      <w:rPr>
        <w:rFonts w:hint="default"/>
        <w:lang w:val="pl-PL" w:eastAsia="en-US" w:bidi="ar-SA"/>
      </w:rPr>
    </w:lvl>
    <w:lvl w:ilvl="2" w:tplc="002CD658">
      <w:numFmt w:val="bullet"/>
      <w:lvlText w:val="•"/>
      <w:lvlJc w:val="left"/>
      <w:pPr>
        <w:ind w:left="1549" w:hanging="141"/>
      </w:pPr>
      <w:rPr>
        <w:rFonts w:hint="default"/>
        <w:lang w:val="pl-PL" w:eastAsia="en-US" w:bidi="ar-SA"/>
      </w:rPr>
    </w:lvl>
    <w:lvl w:ilvl="3" w:tplc="6EEA843C">
      <w:numFmt w:val="bullet"/>
      <w:lvlText w:val="•"/>
      <w:lvlJc w:val="left"/>
      <w:pPr>
        <w:ind w:left="2144" w:hanging="141"/>
      </w:pPr>
      <w:rPr>
        <w:rFonts w:hint="default"/>
        <w:lang w:val="pl-PL" w:eastAsia="en-US" w:bidi="ar-SA"/>
      </w:rPr>
    </w:lvl>
    <w:lvl w:ilvl="4" w:tplc="50A8984E">
      <w:numFmt w:val="bullet"/>
      <w:lvlText w:val="•"/>
      <w:lvlJc w:val="left"/>
      <w:pPr>
        <w:ind w:left="2739" w:hanging="141"/>
      </w:pPr>
      <w:rPr>
        <w:rFonts w:hint="default"/>
        <w:lang w:val="pl-PL" w:eastAsia="en-US" w:bidi="ar-SA"/>
      </w:rPr>
    </w:lvl>
    <w:lvl w:ilvl="5" w:tplc="756E9C2C">
      <w:numFmt w:val="bullet"/>
      <w:lvlText w:val="•"/>
      <w:lvlJc w:val="left"/>
      <w:pPr>
        <w:ind w:left="3334" w:hanging="141"/>
      </w:pPr>
      <w:rPr>
        <w:rFonts w:hint="default"/>
        <w:lang w:val="pl-PL" w:eastAsia="en-US" w:bidi="ar-SA"/>
      </w:rPr>
    </w:lvl>
    <w:lvl w:ilvl="6" w:tplc="C0505272">
      <w:numFmt w:val="bullet"/>
      <w:lvlText w:val="•"/>
      <w:lvlJc w:val="left"/>
      <w:pPr>
        <w:ind w:left="3928" w:hanging="141"/>
      </w:pPr>
      <w:rPr>
        <w:rFonts w:hint="default"/>
        <w:lang w:val="pl-PL" w:eastAsia="en-US" w:bidi="ar-SA"/>
      </w:rPr>
    </w:lvl>
    <w:lvl w:ilvl="7" w:tplc="5874AC7C">
      <w:numFmt w:val="bullet"/>
      <w:lvlText w:val="•"/>
      <w:lvlJc w:val="left"/>
      <w:pPr>
        <w:ind w:left="4523" w:hanging="141"/>
      </w:pPr>
      <w:rPr>
        <w:rFonts w:hint="default"/>
        <w:lang w:val="pl-PL" w:eastAsia="en-US" w:bidi="ar-SA"/>
      </w:rPr>
    </w:lvl>
    <w:lvl w:ilvl="8" w:tplc="8292A1EC">
      <w:numFmt w:val="bullet"/>
      <w:lvlText w:val="•"/>
      <w:lvlJc w:val="left"/>
      <w:pPr>
        <w:ind w:left="5118" w:hanging="141"/>
      </w:pPr>
      <w:rPr>
        <w:rFonts w:hint="default"/>
        <w:lang w:val="pl-PL" w:eastAsia="en-US" w:bidi="ar-SA"/>
      </w:rPr>
    </w:lvl>
  </w:abstractNum>
  <w:abstractNum w:abstractNumId="14" w15:restartNumberingAfterBreak="0">
    <w:nsid w:val="312B7BB0"/>
    <w:multiLevelType w:val="hybridMultilevel"/>
    <w:tmpl w:val="CBC6E9F6"/>
    <w:lvl w:ilvl="0" w:tplc="136C916A">
      <w:numFmt w:val="bullet"/>
      <w:lvlText w:val="-"/>
      <w:lvlJc w:val="left"/>
      <w:pPr>
        <w:ind w:left="1117" w:hanging="107"/>
      </w:pPr>
      <w:rPr>
        <w:rFonts w:ascii="Calibri" w:eastAsia="Calibri" w:hAnsi="Calibri" w:cs="Calibri" w:hint="default"/>
        <w:b w:val="0"/>
        <w:bCs w:val="0"/>
        <w:i w:val="0"/>
        <w:iCs w:val="0"/>
        <w:spacing w:val="0"/>
        <w:w w:val="99"/>
        <w:sz w:val="20"/>
        <w:szCs w:val="20"/>
        <w:lang w:val="pl-PL" w:eastAsia="en-US" w:bidi="ar-SA"/>
      </w:rPr>
    </w:lvl>
    <w:lvl w:ilvl="1" w:tplc="1D9AF068">
      <w:numFmt w:val="bullet"/>
      <w:lvlText w:val="•"/>
      <w:lvlJc w:val="left"/>
      <w:pPr>
        <w:ind w:left="2135" w:hanging="107"/>
      </w:pPr>
      <w:rPr>
        <w:rFonts w:hint="default"/>
        <w:lang w:val="pl-PL" w:eastAsia="en-US" w:bidi="ar-SA"/>
      </w:rPr>
    </w:lvl>
    <w:lvl w:ilvl="2" w:tplc="7DB05772">
      <w:numFmt w:val="bullet"/>
      <w:lvlText w:val="•"/>
      <w:lvlJc w:val="left"/>
      <w:pPr>
        <w:ind w:left="3151" w:hanging="107"/>
      </w:pPr>
      <w:rPr>
        <w:rFonts w:hint="default"/>
        <w:lang w:val="pl-PL" w:eastAsia="en-US" w:bidi="ar-SA"/>
      </w:rPr>
    </w:lvl>
    <w:lvl w:ilvl="3" w:tplc="138A03C6">
      <w:numFmt w:val="bullet"/>
      <w:lvlText w:val="•"/>
      <w:lvlJc w:val="left"/>
      <w:pPr>
        <w:ind w:left="4167" w:hanging="107"/>
      </w:pPr>
      <w:rPr>
        <w:rFonts w:hint="default"/>
        <w:lang w:val="pl-PL" w:eastAsia="en-US" w:bidi="ar-SA"/>
      </w:rPr>
    </w:lvl>
    <w:lvl w:ilvl="4" w:tplc="239A4454">
      <w:numFmt w:val="bullet"/>
      <w:lvlText w:val="•"/>
      <w:lvlJc w:val="left"/>
      <w:pPr>
        <w:ind w:left="5183" w:hanging="107"/>
      </w:pPr>
      <w:rPr>
        <w:rFonts w:hint="default"/>
        <w:lang w:val="pl-PL" w:eastAsia="en-US" w:bidi="ar-SA"/>
      </w:rPr>
    </w:lvl>
    <w:lvl w:ilvl="5" w:tplc="CF4E98DA">
      <w:numFmt w:val="bullet"/>
      <w:lvlText w:val="•"/>
      <w:lvlJc w:val="left"/>
      <w:pPr>
        <w:ind w:left="6199" w:hanging="107"/>
      </w:pPr>
      <w:rPr>
        <w:rFonts w:hint="default"/>
        <w:lang w:val="pl-PL" w:eastAsia="en-US" w:bidi="ar-SA"/>
      </w:rPr>
    </w:lvl>
    <w:lvl w:ilvl="6" w:tplc="54802D86">
      <w:numFmt w:val="bullet"/>
      <w:lvlText w:val="•"/>
      <w:lvlJc w:val="left"/>
      <w:pPr>
        <w:ind w:left="7215" w:hanging="107"/>
      </w:pPr>
      <w:rPr>
        <w:rFonts w:hint="default"/>
        <w:lang w:val="pl-PL" w:eastAsia="en-US" w:bidi="ar-SA"/>
      </w:rPr>
    </w:lvl>
    <w:lvl w:ilvl="7" w:tplc="C7D27B86">
      <w:numFmt w:val="bullet"/>
      <w:lvlText w:val="•"/>
      <w:lvlJc w:val="left"/>
      <w:pPr>
        <w:ind w:left="8231" w:hanging="107"/>
      </w:pPr>
      <w:rPr>
        <w:rFonts w:hint="default"/>
        <w:lang w:val="pl-PL" w:eastAsia="en-US" w:bidi="ar-SA"/>
      </w:rPr>
    </w:lvl>
    <w:lvl w:ilvl="8" w:tplc="66A40864">
      <w:numFmt w:val="bullet"/>
      <w:lvlText w:val="•"/>
      <w:lvlJc w:val="left"/>
      <w:pPr>
        <w:ind w:left="9247" w:hanging="107"/>
      </w:pPr>
      <w:rPr>
        <w:rFonts w:hint="default"/>
        <w:lang w:val="pl-PL" w:eastAsia="en-US" w:bidi="ar-SA"/>
      </w:rPr>
    </w:lvl>
  </w:abstractNum>
  <w:abstractNum w:abstractNumId="15" w15:restartNumberingAfterBreak="0">
    <w:nsid w:val="31B47E72"/>
    <w:multiLevelType w:val="hybridMultilevel"/>
    <w:tmpl w:val="4900ED12"/>
    <w:lvl w:ilvl="0" w:tplc="6BD42772">
      <w:start w:val="2"/>
      <w:numFmt w:val="decimal"/>
      <w:lvlText w:val="%1."/>
      <w:lvlJc w:val="left"/>
      <w:pPr>
        <w:ind w:left="1472" w:hanging="355"/>
      </w:pPr>
      <w:rPr>
        <w:rFonts w:hint="default"/>
        <w:spacing w:val="-1"/>
        <w:w w:val="100"/>
        <w:lang w:val="pl-PL" w:eastAsia="en-US" w:bidi="ar-SA"/>
      </w:rPr>
    </w:lvl>
    <w:lvl w:ilvl="1" w:tplc="C4C2C588">
      <w:numFmt w:val="bullet"/>
      <w:lvlText w:val="•"/>
      <w:lvlJc w:val="left"/>
      <w:pPr>
        <w:ind w:left="1826" w:hanging="361"/>
      </w:pPr>
      <w:rPr>
        <w:rFonts w:ascii="Arial" w:eastAsia="Arial" w:hAnsi="Arial" w:cs="Arial" w:hint="default"/>
        <w:b w:val="0"/>
        <w:bCs w:val="0"/>
        <w:i w:val="0"/>
        <w:iCs w:val="0"/>
        <w:spacing w:val="0"/>
        <w:w w:val="130"/>
        <w:sz w:val="20"/>
        <w:szCs w:val="20"/>
        <w:lang w:val="pl-PL" w:eastAsia="en-US" w:bidi="ar-SA"/>
      </w:rPr>
    </w:lvl>
    <w:lvl w:ilvl="2" w:tplc="AF084824">
      <w:numFmt w:val="bullet"/>
      <w:lvlText w:val="•"/>
      <w:lvlJc w:val="left"/>
      <w:pPr>
        <w:ind w:left="2871" w:hanging="361"/>
      </w:pPr>
      <w:rPr>
        <w:rFonts w:hint="default"/>
        <w:lang w:val="pl-PL" w:eastAsia="en-US" w:bidi="ar-SA"/>
      </w:rPr>
    </w:lvl>
    <w:lvl w:ilvl="3" w:tplc="DEEE063C">
      <w:numFmt w:val="bullet"/>
      <w:lvlText w:val="•"/>
      <w:lvlJc w:val="left"/>
      <w:pPr>
        <w:ind w:left="3922" w:hanging="361"/>
      </w:pPr>
      <w:rPr>
        <w:rFonts w:hint="default"/>
        <w:lang w:val="pl-PL" w:eastAsia="en-US" w:bidi="ar-SA"/>
      </w:rPr>
    </w:lvl>
    <w:lvl w:ilvl="4" w:tplc="6BE8F9CA">
      <w:numFmt w:val="bullet"/>
      <w:lvlText w:val="•"/>
      <w:lvlJc w:val="left"/>
      <w:pPr>
        <w:ind w:left="4973" w:hanging="361"/>
      </w:pPr>
      <w:rPr>
        <w:rFonts w:hint="default"/>
        <w:lang w:val="pl-PL" w:eastAsia="en-US" w:bidi="ar-SA"/>
      </w:rPr>
    </w:lvl>
    <w:lvl w:ilvl="5" w:tplc="6DD28708">
      <w:numFmt w:val="bullet"/>
      <w:lvlText w:val="•"/>
      <w:lvlJc w:val="left"/>
      <w:pPr>
        <w:ind w:left="6024" w:hanging="361"/>
      </w:pPr>
      <w:rPr>
        <w:rFonts w:hint="default"/>
        <w:lang w:val="pl-PL" w:eastAsia="en-US" w:bidi="ar-SA"/>
      </w:rPr>
    </w:lvl>
    <w:lvl w:ilvl="6" w:tplc="CD4A444C">
      <w:numFmt w:val="bullet"/>
      <w:lvlText w:val="•"/>
      <w:lvlJc w:val="left"/>
      <w:pPr>
        <w:ind w:left="7075" w:hanging="361"/>
      </w:pPr>
      <w:rPr>
        <w:rFonts w:hint="default"/>
        <w:lang w:val="pl-PL" w:eastAsia="en-US" w:bidi="ar-SA"/>
      </w:rPr>
    </w:lvl>
    <w:lvl w:ilvl="7" w:tplc="8516310E">
      <w:numFmt w:val="bullet"/>
      <w:lvlText w:val="•"/>
      <w:lvlJc w:val="left"/>
      <w:pPr>
        <w:ind w:left="8126" w:hanging="361"/>
      </w:pPr>
      <w:rPr>
        <w:rFonts w:hint="default"/>
        <w:lang w:val="pl-PL" w:eastAsia="en-US" w:bidi="ar-SA"/>
      </w:rPr>
    </w:lvl>
    <w:lvl w:ilvl="8" w:tplc="6A62A5B2">
      <w:numFmt w:val="bullet"/>
      <w:lvlText w:val="•"/>
      <w:lvlJc w:val="left"/>
      <w:pPr>
        <w:ind w:left="9177" w:hanging="361"/>
      </w:pPr>
      <w:rPr>
        <w:rFonts w:hint="default"/>
        <w:lang w:val="pl-PL" w:eastAsia="en-US" w:bidi="ar-SA"/>
      </w:rPr>
    </w:lvl>
  </w:abstractNum>
  <w:abstractNum w:abstractNumId="16" w15:restartNumberingAfterBreak="0">
    <w:nsid w:val="325C2616"/>
    <w:multiLevelType w:val="hybridMultilevel"/>
    <w:tmpl w:val="8C787CC0"/>
    <w:lvl w:ilvl="0" w:tplc="4BAED9E6">
      <w:start w:val="1"/>
      <w:numFmt w:val="lowerLetter"/>
      <w:lvlText w:val="%1)"/>
      <w:lvlJc w:val="left"/>
      <w:pPr>
        <w:ind w:left="1264" w:hanging="203"/>
      </w:pPr>
      <w:rPr>
        <w:rFonts w:ascii="Calibri" w:eastAsia="Calibri" w:hAnsi="Calibri" w:cs="Calibri" w:hint="default"/>
        <w:b w:val="0"/>
        <w:bCs w:val="0"/>
        <w:i w:val="0"/>
        <w:iCs w:val="0"/>
        <w:spacing w:val="0"/>
        <w:w w:val="99"/>
        <w:sz w:val="20"/>
        <w:szCs w:val="20"/>
        <w:lang w:val="pl-PL" w:eastAsia="en-US" w:bidi="ar-SA"/>
      </w:rPr>
    </w:lvl>
    <w:lvl w:ilvl="1" w:tplc="E73C945C">
      <w:numFmt w:val="bullet"/>
      <w:lvlText w:val="•"/>
      <w:lvlJc w:val="left"/>
      <w:pPr>
        <w:ind w:left="1627" w:hanging="203"/>
      </w:pPr>
      <w:rPr>
        <w:rFonts w:hint="default"/>
        <w:lang w:val="pl-PL" w:eastAsia="en-US" w:bidi="ar-SA"/>
      </w:rPr>
    </w:lvl>
    <w:lvl w:ilvl="2" w:tplc="072C6C66">
      <w:numFmt w:val="bullet"/>
      <w:lvlText w:val="•"/>
      <w:lvlJc w:val="left"/>
      <w:pPr>
        <w:ind w:left="1994" w:hanging="203"/>
      </w:pPr>
      <w:rPr>
        <w:rFonts w:hint="default"/>
        <w:lang w:val="pl-PL" w:eastAsia="en-US" w:bidi="ar-SA"/>
      </w:rPr>
    </w:lvl>
    <w:lvl w:ilvl="3" w:tplc="F75E6510">
      <w:numFmt w:val="bullet"/>
      <w:lvlText w:val="•"/>
      <w:lvlJc w:val="left"/>
      <w:pPr>
        <w:ind w:left="2361" w:hanging="203"/>
      </w:pPr>
      <w:rPr>
        <w:rFonts w:hint="default"/>
        <w:lang w:val="pl-PL" w:eastAsia="en-US" w:bidi="ar-SA"/>
      </w:rPr>
    </w:lvl>
    <w:lvl w:ilvl="4" w:tplc="9A2066BC">
      <w:numFmt w:val="bullet"/>
      <w:lvlText w:val="•"/>
      <w:lvlJc w:val="left"/>
      <w:pPr>
        <w:ind w:left="2728" w:hanging="203"/>
      </w:pPr>
      <w:rPr>
        <w:rFonts w:hint="default"/>
        <w:lang w:val="pl-PL" w:eastAsia="en-US" w:bidi="ar-SA"/>
      </w:rPr>
    </w:lvl>
    <w:lvl w:ilvl="5" w:tplc="97D2FA74">
      <w:numFmt w:val="bullet"/>
      <w:lvlText w:val="•"/>
      <w:lvlJc w:val="left"/>
      <w:pPr>
        <w:ind w:left="3095" w:hanging="203"/>
      </w:pPr>
      <w:rPr>
        <w:rFonts w:hint="default"/>
        <w:lang w:val="pl-PL" w:eastAsia="en-US" w:bidi="ar-SA"/>
      </w:rPr>
    </w:lvl>
    <w:lvl w:ilvl="6" w:tplc="FF9A61F0">
      <w:numFmt w:val="bullet"/>
      <w:lvlText w:val="•"/>
      <w:lvlJc w:val="left"/>
      <w:pPr>
        <w:ind w:left="3462" w:hanging="203"/>
      </w:pPr>
      <w:rPr>
        <w:rFonts w:hint="default"/>
        <w:lang w:val="pl-PL" w:eastAsia="en-US" w:bidi="ar-SA"/>
      </w:rPr>
    </w:lvl>
    <w:lvl w:ilvl="7" w:tplc="895E637E">
      <w:numFmt w:val="bullet"/>
      <w:lvlText w:val="•"/>
      <w:lvlJc w:val="left"/>
      <w:pPr>
        <w:ind w:left="3829" w:hanging="203"/>
      </w:pPr>
      <w:rPr>
        <w:rFonts w:hint="default"/>
        <w:lang w:val="pl-PL" w:eastAsia="en-US" w:bidi="ar-SA"/>
      </w:rPr>
    </w:lvl>
    <w:lvl w:ilvl="8" w:tplc="48AC421E">
      <w:numFmt w:val="bullet"/>
      <w:lvlText w:val="•"/>
      <w:lvlJc w:val="left"/>
      <w:pPr>
        <w:ind w:left="4196" w:hanging="203"/>
      </w:pPr>
      <w:rPr>
        <w:rFonts w:hint="default"/>
        <w:lang w:val="pl-PL" w:eastAsia="en-US" w:bidi="ar-SA"/>
      </w:rPr>
    </w:lvl>
  </w:abstractNum>
  <w:abstractNum w:abstractNumId="17" w15:restartNumberingAfterBreak="0">
    <w:nsid w:val="34DF7A84"/>
    <w:multiLevelType w:val="multilevel"/>
    <w:tmpl w:val="F552E76C"/>
    <w:lvl w:ilvl="0">
      <w:start w:val="1"/>
      <w:numFmt w:val="decimal"/>
      <w:lvlText w:val="%1"/>
      <w:lvlJc w:val="left"/>
      <w:pPr>
        <w:ind w:left="510" w:hanging="481"/>
      </w:pPr>
      <w:rPr>
        <w:rFonts w:hint="default"/>
        <w:lang w:val="pl-PL" w:eastAsia="en-US" w:bidi="ar-SA"/>
      </w:rPr>
    </w:lvl>
    <w:lvl w:ilvl="1">
      <w:start w:val="3"/>
      <w:numFmt w:val="decimal"/>
      <w:lvlText w:val="%1.%2"/>
      <w:lvlJc w:val="left"/>
      <w:pPr>
        <w:ind w:left="510" w:hanging="481"/>
      </w:pPr>
      <w:rPr>
        <w:rFonts w:hint="default"/>
        <w:lang w:val="pl-PL" w:eastAsia="en-US" w:bidi="ar-SA"/>
      </w:rPr>
    </w:lvl>
    <w:lvl w:ilvl="2">
      <w:start w:val="1"/>
      <w:numFmt w:val="decimal"/>
      <w:lvlText w:val="%1.%2.%3."/>
      <w:lvlJc w:val="left"/>
      <w:pPr>
        <w:ind w:left="510" w:hanging="481"/>
      </w:pPr>
      <w:rPr>
        <w:rFonts w:ascii="Calibri" w:eastAsia="Calibri" w:hAnsi="Calibri" w:cs="Calibri" w:hint="default"/>
        <w:b w:val="0"/>
        <w:bCs w:val="0"/>
        <w:i w:val="0"/>
        <w:iCs w:val="0"/>
        <w:color w:val="231F20"/>
        <w:spacing w:val="-1"/>
        <w:w w:val="97"/>
        <w:sz w:val="18"/>
        <w:szCs w:val="18"/>
        <w:lang w:val="pl-PL" w:eastAsia="en-US" w:bidi="ar-SA"/>
      </w:rPr>
    </w:lvl>
    <w:lvl w:ilvl="3">
      <w:numFmt w:val="bullet"/>
      <w:lvlText w:val="•"/>
      <w:lvlJc w:val="left"/>
      <w:pPr>
        <w:ind w:left="3747" w:hanging="481"/>
      </w:pPr>
      <w:rPr>
        <w:rFonts w:hint="default"/>
        <w:lang w:val="pl-PL" w:eastAsia="en-US" w:bidi="ar-SA"/>
      </w:rPr>
    </w:lvl>
    <w:lvl w:ilvl="4">
      <w:numFmt w:val="bullet"/>
      <w:lvlText w:val="•"/>
      <w:lvlJc w:val="left"/>
      <w:pPr>
        <w:ind w:left="4823" w:hanging="481"/>
      </w:pPr>
      <w:rPr>
        <w:rFonts w:hint="default"/>
        <w:lang w:val="pl-PL" w:eastAsia="en-US" w:bidi="ar-SA"/>
      </w:rPr>
    </w:lvl>
    <w:lvl w:ilvl="5">
      <w:numFmt w:val="bullet"/>
      <w:lvlText w:val="•"/>
      <w:lvlJc w:val="left"/>
      <w:pPr>
        <w:ind w:left="5899" w:hanging="481"/>
      </w:pPr>
      <w:rPr>
        <w:rFonts w:hint="default"/>
        <w:lang w:val="pl-PL" w:eastAsia="en-US" w:bidi="ar-SA"/>
      </w:rPr>
    </w:lvl>
    <w:lvl w:ilvl="6">
      <w:numFmt w:val="bullet"/>
      <w:lvlText w:val="•"/>
      <w:lvlJc w:val="left"/>
      <w:pPr>
        <w:ind w:left="6975" w:hanging="481"/>
      </w:pPr>
      <w:rPr>
        <w:rFonts w:hint="default"/>
        <w:lang w:val="pl-PL" w:eastAsia="en-US" w:bidi="ar-SA"/>
      </w:rPr>
    </w:lvl>
    <w:lvl w:ilvl="7">
      <w:numFmt w:val="bullet"/>
      <w:lvlText w:val="•"/>
      <w:lvlJc w:val="left"/>
      <w:pPr>
        <w:ind w:left="8051" w:hanging="481"/>
      </w:pPr>
      <w:rPr>
        <w:rFonts w:hint="default"/>
        <w:lang w:val="pl-PL" w:eastAsia="en-US" w:bidi="ar-SA"/>
      </w:rPr>
    </w:lvl>
    <w:lvl w:ilvl="8">
      <w:numFmt w:val="bullet"/>
      <w:lvlText w:val="•"/>
      <w:lvlJc w:val="left"/>
      <w:pPr>
        <w:ind w:left="9127" w:hanging="481"/>
      </w:pPr>
      <w:rPr>
        <w:rFonts w:hint="default"/>
        <w:lang w:val="pl-PL" w:eastAsia="en-US" w:bidi="ar-SA"/>
      </w:rPr>
    </w:lvl>
  </w:abstractNum>
  <w:abstractNum w:abstractNumId="18" w15:restartNumberingAfterBreak="0">
    <w:nsid w:val="3A50562E"/>
    <w:multiLevelType w:val="hybridMultilevel"/>
    <w:tmpl w:val="EB6C1264"/>
    <w:lvl w:ilvl="0" w:tplc="DD1C0470">
      <w:numFmt w:val="bullet"/>
      <w:lvlText w:val="■"/>
      <w:lvlJc w:val="left"/>
      <w:pPr>
        <w:ind w:left="1230" w:hanging="361"/>
      </w:pPr>
      <w:rPr>
        <w:rFonts w:ascii="Arial" w:eastAsia="Arial" w:hAnsi="Arial" w:cs="Arial" w:hint="default"/>
        <w:b w:val="0"/>
        <w:bCs w:val="0"/>
        <w:i w:val="0"/>
        <w:iCs w:val="0"/>
        <w:color w:val="EC7D31"/>
        <w:spacing w:val="0"/>
        <w:w w:val="123"/>
        <w:sz w:val="18"/>
        <w:szCs w:val="18"/>
        <w:lang w:val="pl-PL" w:eastAsia="en-US" w:bidi="ar-SA"/>
      </w:rPr>
    </w:lvl>
    <w:lvl w:ilvl="1" w:tplc="91C0E7E4">
      <w:numFmt w:val="bullet"/>
      <w:lvlText w:val="•"/>
      <w:lvlJc w:val="left"/>
      <w:pPr>
        <w:ind w:left="2243" w:hanging="361"/>
      </w:pPr>
      <w:rPr>
        <w:rFonts w:hint="default"/>
        <w:lang w:val="pl-PL" w:eastAsia="en-US" w:bidi="ar-SA"/>
      </w:rPr>
    </w:lvl>
    <w:lvl w:ilvl="2" w:tplc="9E6AEB3A">
      <w:numFmt w:val="bullet"/>
      <w:lvlText w:val="•"/>
      <w:lvlJc w:val="left"/>
      <w:pPr>
        <w:ind w:left="3247" w:hanging="361"/>
      </w:pPr>
      <w:rPr>
        <w:rFonts w:hint="default"/>
        <w:lang w:val="pl-PL" w:eastAsia="en-US" w:bidi="ar-SA"/>
      </w:rPr>
    </w:lvl>
    <w:lvl w:ilvl="3" w:tplc="B8285C18">
      <w:numFmt w:val="bullet"/>
      <w:lvlText w:val="•"/>
      <w:lvlJc w:val="left"/>
      <w:pPr>
        <w:ind w:left="4251" w:hanging="361"/>
      </w:pPr>
      <w:rPr>
        <w:rFonts w:hint="default"/>
        <w:lang w:val="pl-PL" w:eastAsia="en-US" w:bidi="ar-SA"/>
      </w:rPr>
    </w:lvl>
    <w:lvl w:ilvl="4" w:tplc="6EECF0D0">
      <w:numFmt w:val="bullet"/>
      <w:lvlText w:val="•"/>
      <w:lvlJc w:val="left"/>
      <w:pPr>
        <w:ind w:left="5255" w:hanging="361"/>
      </w:pPr>
      <w:rPr>
        <w:rFonts w:hint="default"/>
        <w:lang w:val="pl-PL" w:eastAsia="en-US" w:bidi="ar-SA"/>
      </w:rPr>
    </w:lvl>
    <w:lvl w:ilvl="5" w:tplc="F23478AC">
      <w:numFmt w:val="bullet"/>
      <w:lvlText w:val="•"/>
      <w:lvlJc w:val="left"/>
      <w:pPr>
        <w:ind w:left="6259" w:hanging="361"/>
      </w:pPr>
      <w:rPr>
        <w:rFonts w:hint="default"/>
        <w:lang w:val="pl-PL" w:eastAsia="en-US" w:bidi="ar-SA"/>
      </w:rPr>
    </w:lvl>
    <w:lvl w:ilvl="6" w:tplc="C87CC170">
      <w:numFmt w:val="bullet"/>
      <w:lvlText w:val="•"/>
      <w:lvlJc w:val="left"/>
      <w:pPr>
        <w:ind w:left="7263" w:hanging="361"/>
      </w:pPr>
      <w:rPr>
        <w:rFonts w:hint="default"/>
        <w:lang w:val="pl-PL" w:eastAsia="en-US" w:bidi="ar-SA"/>
      </w:rPr>
    </w:lvl>
    <w:lvl w:ilvl="7" w:tplc="6D7826DA">
      <w:numFmt w:val="bullet"/>
      <w:lvlText w:val="•"/>
      <w:lvlJc w:val="left"/>
      <w:pPr>
        <w:ind w:left="8267" w:hanging="361"/>
      </w:pPr>
      <w:rPr>
        <w:rFonts w:hint="default"/>
        <w:lang w:val="pl-PL" w:eastAsia="en-US" w:bidi="ar-SA"/>
      </w:rPr>
    </w:lvl>
    <w:lvl w:ilvl="8" w:tplc="FCACF47A">
      <w:numFmt w:val="bullet"/>
      <w:lvlText w:val="•"/>
      <w:lvlJc w:val="left"/>
      <w:pPr>
        <w:ind w:left="9271" w:hanging="361"/>
      </w:pPr>
      <w:rPr>
        <w:rFonts w:hint="default"/>
        <w:lang w:val="pl-PL" w:eastAsia="en-US" w:bidi="ar-SA"/>
      </w:rPr>
    </w:lvl>
  </w:abstractNum>
  <w:abstractNum w:abstractNumId="19" w15:restartNumberingAfterBreak="0">
    <w:nsid w:val="3C1D6250"/>
    <w:multiLevelType w:val="hybridMultilevel"/>
    <w:tmpl w:val="D228E524"/>
    <w:lvl w:ilvl="0" w:tplc="4524D12A">
      <w:start w:val="1"/>
      <w:numFmt w:val="decimal"/>
      <w:lvlText w:val="%1)"/>
      <w:lvlJc w:val="left"/>
      <w:pPr>
        <w:ind w:left="1230" w:hanging="360"/>
      </w:pPr>
      <w:rPr>
        <w:rFonts w:ascii="Calibri" w:eastAsia="Calibri" w:hAnsi="Calibri" w:cs="Calibri" w:hint="default"/>
        <w:b w:val="0"/>
        <w:bCs w:val="0"/>
        <w:i w:val="0"/>
        <w:iCs w:val="0"/>
        <w:color w:val="231F20"/>
        <w:spacing w:val="0"/>
        <w:w w:val="99"/>
        <w:sz w:val="18"/>
        <w:szCs w:val="18"/>
        <w:lang w:val="pl-PL" w:eastAsia="en-US" w:bidi="ar-SA"/>
      </w:rPr>
    </w:lvl>
    <w:lvl w:ilvl="1" w:tplc="F06E6E10">
      <w:start w:val="1"/>
      <w:numFmt w:val="lowerLetter"/>
      <w:lvlText w:val="%2)"/>
      <w:lvlJc w:val="left"/>
      <w:pPr>
        <w:ind w:left="1953" w:hanging="363"/>
        <w:jc w:val="right"/>
      </w:pPr>
      <w:rPr>
        <w:rFonts w:ascii="Calibri" w:eastAsia="Calibri" w:hAnsi="Calibri" w:cs="Calibri" w:hint="default"/>
        <w:b w:val="0"/>
        <w:bCs w:val="0"/>
        <w:i w:val="0"/>
        <w:iCs w:val="0"/>
        <w:color w:val="231F20"/>
        <w:spacing w:val="-1"/>
        <w:w w:val="98"/>
        <w:sz w:val="18"/>
        <w:szCs w:val="18"/>
        <w:lang w:val="pl-PL" w:eastAsia="en-US" w:bidi="ar-SA"/>
      </w:rPr>
    </w:lvl>
    <w:lvl w:ilvl="2" w:tplc="DE0AE6EE">
      <w:numFmt w:val="bullet"/>
      <w:lvlText w:val="•"/>
      <w:lvlJc w:val="left"/>
      <w:pPr>
        <w:ind w:left="2995" w:hanging="363"/>
      </w:pPr>
      <w:rPr>
        <w:rFonts w:hint="default"/>
        <w:lang w:val="pl-PL" w:eastAsia="en-US" w:bidi="ar-SA"/>
      </w:rPr>
    </w:lvl>
    <w:lvl w:ilvl="3" w:tplc="EBD86F28">
      <w:numFmt w:val="bullet"/>
      <w:lvlText w:val="•"/>
      <w:lvlJc w:val="left"/>
      <w:pPr>
        <w:ind w:left="4030" w:hanging="363"/>
      </w:pPr>
      <w:rPr>
        <w:rFonts w:hint="default"/>
        <w:lang w:val="pl-PL" w:eastAsia="en-US" w:bidi="ar-SA"/>
      </w:rPr>
    </w:lvl>
    <w:lvl w:ilvl="4" w:tplc="C2DC08C0">
      <w:numFmt w:val="bullet"/>
      <w:lvlText w:val="•"/>
      <w:lvlJc w:val="left"/>
      <w:pPr>
        <w:ind w:left="5066" w:hanging="363"/>
      </w:pPr>
      <w:rPr>
        <w:rFonts w:hint="default"/>
        <w:lang w:val="pl-PL" w:eastAsia="en-US" w:bidi="ar-SA"/>
      </w:rPr>
    </w:lvl>
    <w:lvl w:ilvl="5" w:tplc="16FAD452">
      <w:numFmt w:val="bullet"/>
      <w:lvlText w:val="•"/>
      <w:lvlJc w:val="left"/>
      <w:pPr>
        <w:ind w:left="6101" w:hanging="363"/>
      </w:pPr>
      <w:rPr>
        <w:rFonts w:hint="default"/>
        <w:lang w:val="pl-PL" w:eastAsia="en-US" w:bidi="ar-SA"/>
      </w:rPr>
    </w:lvl>
    <w:lvl w:ilvl="6" w:tplc="F85A2FF8">
      <w:numFmt w:val="bullet"/>
      <w:lvlText w:val="•"/>
      <w:lvlJc w:val="left"/>
      <w:pPr>
        <w:ind w:left="7137" w:hanging="363"/>
      </w:pPr>
      <w:rPr>
        <w:rFonts w:hint="default"/>
        <w:lang w:val="pl-PL" w:eastAsia="en-US" w:bidi="ar-SA"/>
      </w:rPr>
    </w:lvl>
    <w:lvl w:ilvl="7" w:tplc="93C6B1D6">
      <w:numFmt w:val="bullet"/>
      <w:lvlText w:val="•"/>
      <w:lvlJc w:val="left"/>
      <w:pPr>
        <w:ind w:left="8172" w:hanging="363"/>
      </w:pPr>
      <w:rPr>
        <w:rFonts w:hint="default"/>
        <w:lang w:val="pl-PL" w:eastAsia="en-US" w:bidi="ar-SA"/>
      </w:rPr>
    </w:lvl>
    <w:lvl w:ilvl="8" w:tplc="D668FFB2">
      <w:numFmt w:val="bullet"/>
      <w:lvlText w:val="•"/>
      <w:lvlJc w:val="left"/>
      <w:pPr>
        <w:ind w:left="9208" w:hanging="363"/>
      </w:pPr>
      <w:rPr>
        <w:rFonts w:hint="default"/>
        <w:lang w:val="pl-PL" w:eastAsia="en-US" w:bidi="ar-SA"/>
      </w:rPr>
    </w:lvl>
  </w:abstractNum>
  <w:abstractNum w:abstractNumId="20" w15:restartNumberingAfterBreak="0">
    <w:nsid w:val="3DA94FB3"/>
    <w:multiLevelType w:val="hybridMultilevel"/>
    <w:tmpl w:val="AC7C8D24"/>
    <w:lvl w:ilvl="0" w:tplc="038456B8">
      <w:start w:val="1"/>
      <w:numFmt w:val="decimal"/>
      <w:lvlText w:val="%1)"/>
      <w:lvlJc w:val="left"/>
      <w:pPr>
        <w:ind w:left="1534" w:hanging="196"/>
      </w:pPr>
      <w:rPr>
        <w:rFonts w:ascii="Calibri" w:eastAsia="Calibri" w:hAnsi="Calibri" w:cs="Calibri" w:hint="default"/>
        <w:b w:val="0"/>
        <w:bCs w:val="0"/>
        <w:i w:val="0"/>
        <w:iCs w:val="0"/>
        <w:spacing w:val="0"/>
        <w:w w:val="99"/>
        <w:sz w:val="18"/>
        <w:szCs w:val="18"/>
        <w:lang w:val="pl-PL" w:eastAsia="en-US" w:bidi="ar-SA"/>
      </w:rPr>
    </w:lvl>
    <w:lvl w:ilvl="1" w:tplc="29DA19AE">
      <w:start w:val="1"/>
      <w:numFmt w:val="lowerLetter"/>
      <w:lvlText w:val="%2)"/>
      <w:lvlJc w:val="left"/>
      <w:pPr>
        <w:ind w:left="1770" w:hanging="216"/>
      </w:pPr>
      <w:rPr>
        <w:rFonts w:ascii="Calibri" w:eastAsia="Calibri" w:hAnsi="Calibri" w:cs="Calibri" w:hint="default"/>
        <w:b w:val="0"/>
        <w:bCs w:val="0"/>
        <w:i w:val="0"/>
        <w:iCs w:val="0"/>
        <w:spacing w:val="-1"/>
        <w:w w:val="98"/>
        <w:sz w:val="18"/>
        <w:szCs w:val="18"/>
        <w:lang w:val="pl-PL" w:eastAsia="en-US" w:bidi="ar-SA"/>
      </w:rPr>
    </w:lvl>
    <w:lvl w:ilvl="2" w:tplc="A790C558">
      <w:numFmt w:val="bullet"/>
      <w:lvlText w:val="•"/>
      <w:lvlJc w:val="left"/>
      <w:pPr>
        <w:ind w:left="2835" w:hanging="216"/>
      </w:pPr>
      <w:rPr>
        <w:rFonts w:hint="default"/>
        <w:lang w:val="pl-PL" w:eastAsia="en-US" w:bidi="ar-SA"/>
      </w:rPr>
    </w:lvl>
    <w:lvl w:ilvl="3" w:tplc="7452CB2E">
      <w:numFmt w:val="bullet"/>
      <w:lvlText w:val="•"/>
      <w:lvlJc w:val="left"/>
      <w:pPr>
        <w:ind w:left="3890" w:hanging="216"/>
      </w:pPr>
      <w:rPr>
        <w:rFonts w:hint="default"/>
        <w:lang w:val="pl-PL" w:eastAsia="en-US" w:bidi="ar-SA"/>
      </w:rPr>
    </w:lvl>
    <w:lvl w:ilvl="4" w:tplc="2C0E8CF4">
      <w:numFmt w:val="bullet"/>
      <w:lvlText w:val="•"/>
      <w:lvlJc w:val="left"/>
      <w:pPr>
        <w:ind w:left="4946" w:hanging="216"/>
      </w:pPr>
      <w:rPr>
        <w:rFonts w:hint="default"/>
        <w:lang w:val="pl-PL" w:eastAsia="en-US" w:bidi="ar-SA"/>
      </w:rPr>
    </w:lvl>
    <w:lvl w:ilvl="5" w:tplc="E2767BB2">
      <w:numFmt w:val="bullet"/>
      <w:lvlText w:val="•"/>
      <w:lvlJc w:val="left"/>
      <w:pPr>
        <w:ind w:left="6001" w:hanging="216"/>
      </w:pPr>
      <w:rPr>
        <w:rFonts w:hint="default"/>
        <w:lang w:val="pl-PL" w:eastAsia="en-US" w:bidi="ar-SA"/>
      </w:rPr>
    </w:lvl>
    <w:lvl w:ilvl="6" w:tplc="BEF69C60">
      <w:numFmt w:val="bullet"/>
      <w:lvlText w:val="•"/>
      <w:lvlJc w:val="left"/>
      <w:pPr>
        <w:ind w:left="7057" w:hanging="216"/>
      </w:pPr>
      <w:rPr>
        <w:rFonts w:hint="default"/>
        <w:lang w:val="pl-PL" w:eastAsia="en-US" w:bidi="ar-SA"/>
      </w:rPr>
    </w:lvl>
    <w:lvl w:ilvl="7" w:tplc="A790AE60">
      <w:numFmt w:val="bullet"/>
      <w:lvlText w:val="•"/>
      <w:lvlJc w:val="left"/>
      <w:pPr>
        <w:ind w:left="8112" w:hanging="216"/>
      </w:pPr>
      <w:rPr>
        <w:rFonts w:hint="default"/>
        <w:lang w:val="pl-PL" w:eastAsia="en-US" w:bidi="ar-SA"/>
      </w:rPr>
    </w:lvl>
    <w:lvl w:ilvl="8" w:tplc="2E9A54CE">
      <w:numFmt w:val="bullet"/>
      <w:lvlText w:val="•"/>
      <w:lvlJc w:val="left"/>
      <w:pPr>
        <w:ind w:left="9168" w:hanging="216"/>
      </w:pPr>
      <w:rPr>
        <w:rFonts w:hint="default"/>
        <w:lang w:val="pl-PL" w:eastAsia="en-US" w:bidi="ar-SA"/>
      </w:rPr>
    </w:lvl>
  </w:abstractNum>
  <w:abstractNum w:abstractNumId="21" w15:restartNumberingAfterBreak="0">
    <w:nsid w:val="3F1261BE"/>
    <w:multiLevelType w:val="multilevel"/>
    <w:tmpl w:val="082E157E"/>
    <w:lvl w:ilvl="0">
      <w:start w:val="2"/>
      <w:numFmt w:val="decimal"/>
      <w:lvlText w:val="%1"/>
      <w:lvlJc w:val="left"/>
      <w:pPr>
        <w:ind w:left="510" w:hanging="296"/>
      </w:pPr>
      <w:rPr>
        <w:rFonts w:hint="default"/>
        <w:lang w:val="pl-PL" w:eastAsia="en-US" w:bidi="ar-SA"/>
      </w:rPr>
    </w:lvl>
    <w:lvl w:ilvl="1">
      <w:start w:val="1"/>
      <w:numFmt w:val="decimal"/>
      <w:lvlText w:val="%1.%2."/>
      <w:lvlJc w:val="left"/>
      <w:pPr>
        <w:ind w:left="510" w:hanging="296"/>
      </w:pPr>
      <w:rPr>
        <w:rFonts w:ascii="Calibri" w:eastAsia="Calibri" w:hAnsi="Calibri" w:cs="Calibri" w:hint="default"/>
        <w:b w:val="0"/>
        <w:bCs w:val="0"/>
        <w:i w:val="0"/>
        <w:iCs w:val="0"/>
        <w:color w:val="231F20"/>
        <w:spacing w:val="0"/>
        <w:w w:val="97"/>
        <w:sz w:val="18"/>
        <w:szCs w:val="18"/>
        <w:lang w:val="pl-PL" w:eastAsia="en-US" w:bidi="ar-SA"/>
      </w:rPr>
    </w:lvl>
    <w:lvl w:ilvl="2">
      <w:numFmt w:val="bullet"/>
      <w:lvlText w:val="•"/>
      <w:lvlJc w:val="left"/>
      <w:pPr>
        <w:ind w:left="2671" w:hanging="296"/>
      </w:pPr>
      <w:rPr>
        <w:rFonts w:hint="default"/>
        <w:lang w:val="pl-PL" w:eastAsia="en-US" w:bidi="ar-SA"/>
      </w:rPr>
    </w:lvl>
    <w:lvl w:ilvl="3">
      <w:numFmt w:val="bullet"/>
      <w:lvlText w:val="•"/>
      <w:lvlJc w:val="left"/>
      <w:pPr>
        <w:ind w:left="3747" w:hanging="296"/>
      </w:pPr>
      <w:rPr>
        <w:rFonts w:hint="default"/>
        <w:lang w:val="pl-PL" w:eastAsia="en-US" w:bidi="ar-SA"/>
      </w:rPr>
    </w:lvl>
    <w:lvl w:ilvl="4">
      <w:numFmt w:val="bullet"/>
      <w:lvlText w:val="•"/>
      <w:lvlJc w:val="left"/>
      <w:pPr>
        <w:ind w:left="4823" w:hanging="296"/>
      </w:pPr>
      <w:rPr>
        <w:rFonts w:hint="default"/>
        <w:lang w:val="pl-PL" w:eastAsia="en-US" w:bidi="ar-SA"/>
      </w:rPr>
    </w:lvl>
    <w:lvl w:ilvl="5">
      <w:numFmt w:val="bullet"/>
      <w:lvlText w:val="•"/>
      <w:lvlJc w:val="left"/>
      <w:pPr>
        <w:ind w:left="5899" w:hanging="296"/>
      </w:pPr>
      <w:rPr>
        <w:rFonts w:hint="default"/>
        <w:lang w:val="pl-PL" w:eastAsia="en-US" w:bidi="ar-SA"/>
      </w:rPr>
    </w:lvl>
    <w:lvl w:ilvl="6">
      <w:numFmt w:val="bullet"/>
      <w:lvlText w:val="•"/>
      <w:lvlJc w:val="left"/>
      <w:pPr>
        <w:ind w:left="6975" w:hanging="296"/>
      </w:pPr>
      <w:rPr>
        <w:rFonts w:hint="default"/>
        <w:lang w:val="pl-PL" w:eastAsia="en-US" w:bidi="ar-SA"/>
      </w:rPr>
    </w:lvl>
    <w:lvl w:ilvl="7">
      <w:numFmt w:val="bullet"/>
      <w:lvlText w:val="•"/>
      <w:lvlJc w:val="left"/>
      <w:pPr>
        <w:ind w:left="8051" w:hanging="296"/>
      </w:pPr>
      <w:rPr>
        <w:rFonts w:hint="default"/>
        <w:lang w:val="pl-PL" w:eastAsia="en-US" w:bidi="ar-SA"/>
      </w:rPr>
    </w:lvl>
    <w:lvl w:ilvl="8">
      <w:numFmt w:val="bullet"/>
      <w:lvlText w:val="•"/>
      <w:lvlJc w:val="left"/>
      <w:pPr>
        <w:ind w:left="9127" w:hanging="296"/>
      </w:pPr>
      <w:rPr>
        <w:rFonts w:hint="default"/>
        <w:lang w:val="pl-PL" w:eastAsia="en-US" w:bidi="ar-SA"/>
      </w:rPr>
    </w:lvl>
  </w:abstractNum>
  <w:abstractNum w:abstractNumId="22" w15:restartNumberingAfterBreak="0">
    <w:nsid w:val="3FB53B66"/>
    <w:multiLevelType w:val="hybridMultilevel"/>
    <w:tmpl w:val="E73EF296"/>
    <w:lvl w:ilvl="0" w:tplc="2222CE6C">
      <w:start w:val="1"/>
      <w:numFmt w:val="decimal"/>
      <w:lvlText w:val="%1."/>
      <w:lvlJc w:val="left"/>
      <w:pPr>
        <w:ind w:left="1518" w:hanging="401"/>
      </w:pPr>
      <w:rPr>
        <w:rFonts w:ascii="Calibri" w:eastAsia="Calibri" w:hAnsi="Calibri" w:cs="Calibri" w:hint="default"/>
        <w:b/>
        <w:bCs/>
        <w:i w:val="0"/>
        <w:iCs w:val="0"/>
        <w:color w:val="BF0000"/>
        <w:spacing w:val="-5"/>
        <w:w w:val="99"/>
        <w:sz w:val="20"/>
        <w:szCs w:val="20"/>
        <w:lang w:val="pl-PL" w:eastAsia="en-US" w:bidi="ar-SA"/>
      </w:rPr>
    </w:lvl>
    <w:lvl w:ilvl="1" w:tplc="ABD0E032">
      <w:numFmt w:val="bullet"/>
      <w:lvlText w:val="•"/>
      <w:lvlJc w:val="left"/>
      <w:pPr>
        <w:ind w:left="2495" w:hanging="401"/>
      </w:pPr>
      <w:rPr>
        <w:rFonts w:hint="default"/>
        <w:lang w:val="pl-PL" w:eastAsia="en-US" w:bidi="ar-SA"/>
      </w:rPr>
    </w:lvl>
    <w:lvl w:ilvl="2" w:tplc="824ACD54">
      <w:numFmt w:val="bullet"/>
      <w:lvlText w:val="•"/>
      <w:lvlJc w:val="left"/>
      <w:pPr>
        <w:ind w:left="3471" w:hanging="401"/>
      </w:pPr>
      <w:rPr>
        <w:rFonts w:hint="default"/>
        <w:lang w:val="pl-PL" w:eastAsia="en-US" w:bidi="ar-SA"/>
      </w:rPr>
    </w:lvl>
    <w:lvl w:ilvl="3" w:tplc="C90E911E">
      <w:numFmt w:val="bullet"/>
      <w:lvlText w:val="•"/>
      <w:lvlJc w:val="left"/>
      <w:pPr>
        <w:ind w:left="4447" w:hanging="401"/>
      </w:pPr>
      <w:rPr>
        <w:rFonts w:hint="default"/>
        <w:lang w:val="pl-PL" w:eastAsia="en-US" w:bidi="ar-SA"/>
      </w:rPr>
    </w:lvl>
    <w:lvl w:ilvl="4" w:tplc="9962CD82">
      <w:numFmt w:val="bullet"/>
      <w:lvlText w:val="•"/>
      <w:lvlJc w:val="left"/>
      <w:pPr>
        <w:ind w:left="5423" w:hanging="401"/>
      </w:pPr>
      <w:rPr>
        <w:rFonts w:hint="default"/>
        <w:lang w:val="pl-PL" w:eastAsia="en-US" w:bidi="ar-SA"/>
      </w:rPr>
    </w:lvl>
    <w:lvl w:ilvl="5" w:tplc="A0CA180A">
      <w:numFmt w:val="bullet"/>
      <w:lvlText w:val="•"/>
      <w:lvlJc w:val="left"/>
      <w:pPr>
        <w:ind w:left="6399" w:hanging="401"/>
      </w:pPr>
      <w:rPr>
        <w:rFonts w:hint="default"/>
        <w:lang w:val="pl-PL" w:eastAsia="en-US" w:bidi="ar-SA"/>
      </w:rPr>
    </w:lvl>
    <w:lvl w:ilvl="6" w:tplc="A10CD8D8">
      <w:numFmt w:val="bullet"/>
      <w:lvlText w:val="•"/>
      <w:lvlJc w:val="left"/>
      <w:pPr>
        <w:ind w:left="7375" w:hanging="401"/>
      </w:pPr>
      <w:rPr>
        <w:rFonts w:hint="default"/>
        <w:lang w:val="pl-PL" w:eastAsia="en-US" w:bidi="ar-SA"/>
      </w:rPr>
    </w:lvl>
    <w:lvl w:ilvl="7" w:tplc="64044C76">
      <w:numFmt w:val="bullet"/>
      <w:lvlText w:val="•"/>
      <w:lvlJc w:val="left"/>
      <w:pPr>
        <w:ind w:left="8351" w:hanging="401"/>
      </w:pPr>
      <w:rPr>
        <w:rFonts w:hint="default"/>
        <w:lang w:val="pl-PL" w:eastAsia="en-US" w:bidi="ar-SA"/>
      </w:rPr>
    </w:lvl>
    <w:lvl w:ilvl="8" w:tplc="E10E89FC">
      <w:numFmt w:val="bullet"/>
      <w:lvlText w:val="•"/>
      <w:lvlJc w:val="left"/>
      <w:pPr>
        <w:ind w:left="9327" w:hanging="401"/>
      </w:pPr>
      <w:rPr>
        <w:rFonts w:hint="default"/>
        <w:lang w:val="pl-PL" w:eastAsia="en-US" w:bidi="ar-SA"/>
      </w:rPr>
    </w:lvl>
  </w:abstractNum>
  <w:abstractNum w:abstractNumId="23" w15:restartNumberingAfterBreak="0">
    <w:nsid w:val="405A04A0"/>
    <w:multiLevelType w:val="multilevel"/>
    <w:tmpl w:val="52F6131C"/>
    <w:lvl w:ilvl="0">
      <w:start w:val="1"/>
      <w:numFmt w:val="decimal"/>
      <w:lvlText w:val="%1"/>
      <w:lvlJc w:val="left"/>
      <w:pPr>
        <w:ind w:left="942" w:hanging="433"/>
      </w:pPr>
      <w:rPr>
        <w:rFonts w:ascii="Calibri" w:eastAsia="Calibri" w:hAnsi="Calibri" w:cs="Calibri" w:hint="default"/>
        <w:b w:val="0"/>
        <w:bCs w:val="0"/>
        <w:i w:val="0"/>
        <w:iCs w:val="0"/>
        <w:color w:val="F5811F"/>
        <w:spacing w:val="0"/>
        <w:w w:val="100"/>
        <w:sz w:val="18"/>
        <w:szCs w:val="18"/>
        <w:lang w:val="pl-PL" w:eastAsia="en-US" w:bidi="ar-SA"/>
      </w:rPr>
    </w:lvl>
    <w:lvl w:ilvl="1">
      <w:start w:val="1"/>
      <w:numFmt w:val="decimal"/>
      <w:lvlText w:val="%1.%2"/>
      <w:lvlJc w:val="left"/>
      <w:pPr>
        <w:ind w:left="1088" w:hanging="579"/>
      </w:pPr>
      <w:rPr>
        <w:rFonts w:ascii="Calibri" w:eastAsia="Calibri" w:hAnsi="Calibri" w:cs="Calibri" w:hint="default"/>
        <w:b w:val="0"/>
        <w:bCs w:val="0"/>
        <w:i w:val="0"/>
        <w:iCs w:val="0"/>
        <w:color w:val="F07D00"/>
        <w:spacing w:val="-1"/>
        <w:w w:val="97"/>
        <w:sz w:val="18"/>
        <w:szCs w:val="18"/>
        <w:lang w:val="pl-PL" w:eastAsia="en-US" w:bidi="ar-SA"/>
      </w:rPr>
    </w:lvl>
    <w:lvl w:ilvl="2">
      <w:start w:val="1"/>
      <w:numFmt w:val="decimal"/>
      <w:lvlText w:val="%1.%2.%3"/>
      <w:lvlJc w:val="left"/>
      <w:pPr>
        <w:ind w:left="1230" w:hanging="720"/>
      </w:pPr>
      <w:rPr>
        <w:rFonts w:ascii="Calibri" w:eastAsia="Calibri" w:hAnsi="Calibri" w:cs="Calibri" w:hint="default"/>
        <w:b w:val="0"/>
        <w:bCs w:val="0"/>
        <w:i w:val="0"/>
        <w:iCs w:val="0"/>
        <w:color w:val="F07D00"/>
        <w:spacing w:val="-1"/>
        <w:w w:val="97"/>
        <w:sz w:val="18"/>
        <w:szCs w:val="18"/>
        <w:lang w:val="pl-PL" w:eastAsia="en-US" w:bidi="ar-SA"/>
      </w:rPr>
    </w:lvl>
    <w:lvl w:ilvl="3">
      <w:start w:val="1"/>
      <w:numFmt w:val="decimal"/>
      <w:lvlText w:val="%1.%2.%3.%4"/>
      <w:lvlJc w:val="left"/>
      <w:pPr>
        <w:ind w:left="1374" w:hanging="865"/>
      </w:pPr>
      <w:rPr>
        <w:rFonts w:ascii="Calibri" w:eastAsia="Calibri" w:hAnsi="Calibri" w:cs="Calibri" w:hint="default"/>
        <w:b w:val="0"/>
        <w:bCs w:val="0"/>
        <w:i w:val="0"/>
        <w:iCs w:val="0"/>
        <w:color w:val="F07D00"/>
        <w:spacing w:val="-1"/>
        <w:w w:val="97"/>
        <w:sz w:val="18"/>
        <w:szCs w:val="18"/>
        <w:lang w:val="pl-PL" w:eastAsia="en-US" w:bidi="ar-SA"/>
      </w:rPr>
    </w:lvl>
    <w:lvl w:ilvl="4">
      <w:numFmt w:val="bullet"/>
      <w:lvlText w:val="■"/>
      <w:lvlJc w:val="left"/>
      <w:pPr>
        <w:ind w:left="1646" w:hanging="325"/>
      </w:pPr>
      <w:rPr>
        <w:rFonts w:ascii="Arial" w:eastAsia="Arial" w:hAnsi="Arial" w:cs="Arial" w:hint="default"/>
        <w:b w:val="0"/>
        <w:bCs w:val="0"/>
        <w:i w:val="0"/>
        <w:iCs w:val="0"/>
        <w:color w:val="F5811F"/>
        <w:spacing w:val="0"/>
        <w:w w:val="100"/>
        <w:sz w:val="30"/>
        <w:szCs w:val="30"/>
        <w:lang w:val="pl-PL" w:eastAsia="en-US" w:bidi="ar-SA"/>
      </w:rPr>
    </w:lvl>
    <w:lvl w:ilvl="5">
      <w:numFmt w:val="bullet"/>
      <w:lvlText w:val="•"/>
      <w:lvlJc w:val="left"/>
      <w:pPr>
        <w:ind w:left="3246" w:hanging="325"/>
      </w:pPr>
      <w:rPr>
        <w:rFonts w:hint="default"/>
        <w:lang w:val="pl-PL" w:eastAsia="en-US" w:bidi="ar-SA"/>
      </w:rPr>
    </w:lvl>
    <w:lvl w:ilvl="6">
      <w:numFmt w:val="bullet"/>
      <w:lvlText w:val="•"/>
      <w:lvlJc w:val="left"/>
      <w:pPr>
        <w:ind w:left="4853" w:hanging="325"/>
      </w:pPr>
      <w:rPr>
        <w:rFonts w:hint="default"/>
        <w:lang w:val="pl-PL" w:eastAsia="en-US" w:bidi="ar-SA"/>
      </w:rPr>
    </w:lvl>
    <w:lvl w:ilvl="7">
      <w:numFmt w:val="bullet"/>
      <w:lvlText w:val="•"/>
      <w:lvlJc w:val="left"/>
      <w:pPr>
        <w:ind w:left="6459" w:hanging="325"/>
      </w:pPr>
      <w:rPr>
        <w:rFonts w:hint="default"/>
        <w:lang w:val="pl-PL" w:eastAsia="en-US" w:bidi="ar-SA"/>
      </w:rPr>
    </w:lvl>
    <w:lvl w:ilvl="8">
      <w:numFmt w:val="bullet"/>
      <w:lvlText w:val="•"/>
      <w:lvlJc w:val="left"/>
      <w:pPr>
        <w:ind w:left="8066" w:hanging="325"/>
      </w:pPr>
      <w:rPr>
        <w:rFonts w:hint="default"/>
        <w:lang w:val="pl-PL" w:eastAsia="en-US" w:bidi="ar-SA"/>
      </w:rPr>
    </w:lvl>
  </w:abstractNum>
  <w:abstractNum w:abstractNumId="24" w15:restartNumberingAfterBreak="0">
    <w:nsid w:val="408034BA"/>
    <w:multiLevelType w:val="hybridMultilevel"/>
    <w:tmpl w:val="1F767C84"/>
    <w:lvl w:ilvl="0" w:tplc="436CE0D8">
      <w:numFmt w:val="bullet"/>
      <w:lvlText w:val="■"/>
      <w:lvlJc w:val="left"/>
      <w:pPr>
        <w:ind w:left="1511" w:hanging="430"/>
      </w:pPr>
      <w:rPr>
        <w:rFonts w:ascii="Arial" w:eastAsia="Arial" w:hAnsi="Arial" w:cs="Arial" w:hint="default"/>
        <w:b w:val="0"/>
        <w:bCs w:val="0"/>
        <w:i w:val="0"/>
        <w:iCs w:val="0"/>
        <w:color w:val="F5811F"/>
        <w:spacing w:val="0"/>
        <w:w w:val="100"/>
        <w:sz w:val="30"/>
        <w:szCs w:val="30"/>
        <w:lang w:val="pl-PL" w:eastAsia="en-US" w:bidi="ar-SA"/>
      </w:rPr>
    </w:lvl>
    <w:lvl w:ilvl="1" w:tplc="7F44B35C">
      <w:numFmt w:val="bullet"/>
      <w:lvlText w:val="•"/>
      <w:lvlJc w:val="left"/>
      <w:pPr>
        <w:ind w:left="2495" w:hanging="430"/>
      </w:pPr>
      <w:rPr>
        <w:rFonts w:hint="default"/>
        <w:lang w:val="pl-PL" w:eastAsia="en-US" w:bidi="ar-SA"/>
      </w:rPr>
    </w:lvl>
    <w:lvl w:ilvl="2" w:tplc="46769496">
      <w:numFmt w:val="bullet"/>
      <w:lvlText w:val="•"/>
      <w:lvlJc w:val="left"/>
      <w:pPr>
        <w:ind w:left="3471" w:hanging="430"/>
      </w:pPr>
      <w:rPr>
        <w:rFonts w:hint="default"/>
        <w:lang w:val="pl-PL" w:eastAsia="en-US" w:bidi="ar-SA"/>
      </w:rPr>
    </w:lvl>
    <w:lvl w:ilvl="3" w:tplc="E50EEF4A">
      <w:numFmt w:val="bullet"/>
      <w:lvlText w:val="•"/>
      <w:lvlJc w:val="left"/>
      <w:pPr>
        <w:ind w:left="4447" w:hanging="430"/>
      </w:pPr>
      <w:rPr>
        <w:rFonts w:hint="default"/>
        <w:lang w:val="pl-PL" w:eastAsia="en-US" w:bidi="ar-SA"/>
      </w:rPr>
    </w:lvl>
    <w:lvl w:ilvl="4" w:tplc="6F7446FE">
      <w:numFmt w:val="bullet"/>
      <w:lvlText w:val="•"/>
      <w:lvlJc w:val="left"/>
      <w:pPr>
        <w:ind w:left="5423" w:hanging="430"/>
      </w:pPr>
      <w:rPr>
        <w:rFonts w:hint="default"/>
        <w:lang w:val="pl-PL" w:eastAsia="en-US" w:bidi="ar-SA"/>
      </w:rPr>
    </w:lvl>
    <w:lvl w:ilvl="5" w:tplc="FF260504">
      <w:numFmt w:val="bullet"/>
      <w:lvlText w:val="•"/>
      <w:lvlJc w:val="left"/>
      <w:pPr>
        <w:ind w:left="6399" w:hanging="430"/>
      </w:pPr>
      <w:rPr>
        <w:rFonts w:hint="default"/>
        <w:lang w:val="pl-PL" w:eastAsia="en-US" w:bidi="ar-SA"/>
      </w:rPr>
    </w:lvl>
    <w:lvl w:ilvl="6" w:tplc="D94CE412">
      <w:numFmt w:val="bullet"/>
      <w:lvlText w:val="•"/>
      <w:lvlJc w:val="left"/>
      <w:pPr>
        <w:ind w:left="7375" w:hanging="430"/>
      </w:pPr>
      <w:rPr>
        <w:rFonts w:hint="default"/>
        <w:lang w:val="pl-PL" w:eastAsia="en-US" w:bidi="ar-SA"/>
      </w:rPr>
    </w:lvl>
    <w:lvl w:ilvl="7" w:tplc="0EA2BF96">
      <w:numFmt w:val="bullet"/>
      <w:lvlText w:val="•"/>
      <w:lvlJc w:val="left"/>
      <w:pPr>
        <w:ind w:left="8351" w:hanging="430"/>
      </w:pPr>
      <w:rPr>
        <w:rFonts w:hint="default"/>
        <w:lang w:val="pl-PL" w:eastAsia="en-US" w:bidi="ar-SA"/>
      </w:rPr>
    </w:lvl>
    <w:lvl w:ilvl="8" w:tplc="8998167C">
      <w:numFmt w:val="bullet"/>
      <w:lvlText w:val="•"/>
      <w:lvlJc w:val="left"/>
      <w:pPr>
        <w:ind w:left="9327" w:hanging="430"/>
      </w:pPr>
      <w:rPr>
        <w:rFonts w:hint="default"/>
        <w:lang w:val="pl-PL" w:eastAsia="en-US" w:bidi="ar-SA"/>
      </w:rPr>
    </w:lvl>
  </w:abstractNum>
  <w:abstractNum w:abstractNumId="25" w15:restartNumberingAfterBreak="0">
    <w:nsid w:val="41FC2A73"/>
    <w:multiLevelType w:val="hybridMultilevel"/>
    <w:tmpl w:val="8E4431DE"/>
    <w:lvl w:ilvl="0" w:tplc="88A0CD68">
      <w:start w:val="1"/>
      <w:numFmt w:val="decimal"/>
      <w:lvlText w:val="%1."/>
      <w:lvlJc w:val="left"/>
      <w:pPr>
        <w:ind w:left="2074" w:hanging="844"/>
      </w:pPr>
      <w:rPr>
        <w:rFonts w:hint="default"/>
        <w:spacing w:val="-1"/>
        <w:w w:val="99"/>
        <w:lang w:val="pl-PL" w:eastAsia="en-US" w:bidi="ar-SA"/>
      </w:rPr>
    </w:lvl>
    <w:lvl w:ilvl="1" w:tplc="881C4360">
      <w:start w:val="1"/>
      <w:numFmt w:val="decimal"/>
      <w:lvlText w:val="%2."/>
      <w:lvlJc w:val="left"/>
      <w:pPr>
        <w:ind w:left="1728" w:hanging="262"/>
      </w:pPr>
      <w:rPr>
        <w:rFonts w:ascii="Calibri" w:eastAsia="Calibri" w:hAnsi="Calibri" w:cs="Calibri" w:hint="default"/>
        <w:b w:val="0"/>
        <w:bCs w:val="0"/>
        <w:i w:val="0"/>
        <w:iCs w:val="0"/>
        <w:spacing w:val="-1"/>
        <w:w w:val="99"/>
        <w:sz w:val="20"/>
        <w:szCs w:val="20"/>
        <w:lang w:val="pl-PL" w:eastAsia="en-US" w:bidi="ar-SA"/>
      </w:rPr>
    </w:lvl>
    <w:lvl w:ilvl="2" w:tplc="265CE492">
      <w:start w:val="1"/>
      <w:numFmt w:val="decimal"/>
      <w:lvlText w:val="%3."/>
      <w:lvlJc w:val="left"/>
      <w:pPr>
        <w:ind w:left="2203" w:hanging="365"/>
      </w:pPr>
      <w:rPr>
        <w:rFonts w:ascii="Calibri" w:eastAsia="Calibri" w:hAnsi="Calibri" w:cs="Calibri" w:hint="default"/>
        <w:b w:val="0"/>
        <w:bCs w:val="0"/>
        <w:i w:val="0"/>
        <w:iCs w:val="0"/>
        <w:spacing w:val="-1"/>
        <w:w w:val="99"/>
        <w:sz w:val="20"/>
        <w:szCs w:val="20"/>
        <w:lang w:val="pl-PL" w:eastAsia="en-US" w:bidi="ar-SA"/>
      </w:rPr>
    </w:lvl>
    <w:lvl w:ilvl="3" w:tplc="3CEA5354">
      <w:numFmt w:val="bullet"/>
      <w:lvlText w:val="•"/>
      <w:lvlJc w:val="left"/>
      <w:pPr>
        <w:ind w:left="3105" w:hanging="365"/>
      </w:pPr>
      <w:rPr>
        <w:rFonts w:hint="default"/>
        <w:lang w:val="pl-PL" w:eastAsia="en-US" w:bidi="ar-SA"/>
      </w:rPr>
    </w:lvl>
    <w:lvl w:ilvl="4" w:tplc="1DD4A912">
      <w:numFmt w:val="bullet"/>
      <w:lvlText w:val="•"/>
      <w:lvlJc w:val="left"/>
      <w:pPr>
        <w:ind w:left="4011" w:hanging="365"/>
      </w:pPr>
      <w:rPr>
        <w:rFonts w:hint="default"/>
        <w:lang w:val="pl-PL" w:eastAsia="en-US" w:bidi="ar-SA"/>
      </w:rPr>
    </w:lvl>
    <w:lvl w:ilvl="5" w:tplc="B57E5138">
      <w:numFmt w:val="bullet"/>
      <w:lvlText w:val="•"/>
      <w:lvlJc w:val="left"/>
      <w:pPr>
        <w:ind w:left="4917" w:hanging="365"/>
      </w:pPr>
      <w:rPr>
        <w:rFonts w:hint="default"/>
        <w:lang w:val="pl-PL" w:eastAsia="en-US" w:bidi="ar-SA"/>
      </w:rPr>
    </w:lvl>
    <w:lvl w:ilvl="6" w:tplc="5DBE99DA">
      <w:numFmt w:val="bullet"/>
      <w:lvlText w:val="•"/>
      <w:lvlJc w:val="left"/>
      <w:pPr>
        <w:ind w:left="5823" w:hanging="365"/>
      </w:pPr>
      <w:rPr>
        <w:rFonts w:hint="default"/>
        <w:lang w:val="pl-PL" w:eastAsia="en-US" w:bidi="ar-SA"/>
      </w:rPr>
    </w:lvl>
    <w:lvl w:ilvl="7" w:tplc="CD5A8E32">
      <w:numFmt w:val="bullet"/>
      <w:lvlText w:val="•"/>
      <w:lvlJc w:val="left"/>
      <w:pPr>
        <w:ind w:left="6729" w:hanging="365"/>
      </w:pPr>
      <w:rPr>
        <w:rFonts w:hint="default"/>
        <w:lang w:val="pl-PL" w:eastAsia="en-US" w:bidi="ar-SA"/>
      </w:rPr>
    </w:lvl>
    <w:lvl w:ilvl="8" w:tplc="97A07B58">
      <w:numFmt w:val="bullet"/>
      <w:lvlText w:val="•"/>
      <w:lvlJc w:val="left"/>
      <w:pPr>
        <w:ind w:left="7634" w:hanging="365"/>
      </w:pPr>
      <w:rPr>
        <w:rFonts w:hint="default"/>
        <w:lang w:val="pl-PL" w:eastAsia="en-US" w:bidi="ar-SA"/>
      </w:rPr>
    </w:lvl>
  </w:abstractNum>
  <w:abstractNum w:abstractNumId="26" w15:restartNumberingAfterBreak="0">
    <w:nsid w:val="4383324D"/>
    <w:multiLevelType w:val="hybridMultilevel"/>
    <w:tmpl w:val="EB583AF6"/>
    <w:lvl w:ilvl="0" w:tplc="5296CD5A">
      <w:numFmt w:val="bullet"/>
      <w:lvlText w:val="-"/>
      <w:lvlJc w:val="left"/>
      <w:pPr>
        <w:ind w:left="1224" w:hanging="107"/>
      </w:pPr>
      <w:rPr>
        <w:rFonts w:ascii="Calibri" w:eastAsia="Calibri" w:hAnsi="Calibri" w:cs="Calibri" w:hint="default"/>
        <w:b w:val="0"/>
        <w:bCs w:val="0"/>
        <w:i w:val="0"/>
        <w:iCs w:val="0"/>
        <w:spacing w:val="0"/>
        <w:w w:val="99"/>
        <w:sz w:val="20"/>
        <w:szCs w:val="20"/>
        <w:lang w:val="pl-PL" w:eastAsia="en-US" w:bidi="ar-SA"/>
      </w:rPr>
    </w:lvl>
    <w:lvl w:ilvl="1" w:tplc="95869CF4">
      <w:numFmt w:val="bullet"/>
      <w:lvlText w:val="•"/>
      <w:lvlJc w:val="left"/>
      <w:pPr>
        <w:ind w:left="2225" w:hanging="107"/>
      </w:pPr>
      <w:rPr>
        <w:rFonts w:hint="default"/>
        <w:lang w:val="pl-PL" w:eastAsia="en-US" w:bidi="ar-SA"/>
      </w:rPr>
    </w:lvl>
    <w:lvl w:ilvl="2" w:tplc="EE6891C6">
      <w:numFmt w:val="bullet"/>
      <w:lvlText w:val="•"/>
      <w:lvlJc w:val="left"/>
      <w:pPr>
        <w:ind w:left="3231" w:hanging="107"/>
      </w:pPr>
      <w:rPr>
        <w:rFonts w:hint="default"/>
        <w:lang w:val="pl-PL" w:eastAsia="en-US" w:bidi="ar-SA"/>
      </w:rPr>
    </w:lvl>
    <w:lvl w:ilvl="3" w:tplc="CB4E207A">
      <w:numFmt w:val="bullet"/>
      <w:lvlText w:val="•"/>
      <w:lvlJc w:val="left"/>
      <w:pPr>
        <w:ind w:left="4237" w:hanging="107"/>
      </w:pPr>
      <w:rPr>
        <w:rFonts w:hint="default"/>
        <w:lang w:val="pl-PL" w:eastAsia="en-US" w:bidi="ar-SA"/>
      </w:rPr>
    </w:lvl>
    <w:lvl w:ilvl="4" w:tplc="34C255A0">
      <w:numFmt w:val="bullet"/>
      <w:lvlText w:val="•"/>
      <w:lvlJc w:val="left"/>
      <w:pPr>
        <w:ind w:left="5243" w:hanging="107"/>
      </w:pPr>
      <w:rPr>
        <w:rFonts w:hint="default"/>
        <w:lang w:val="pl-PL" w:eastAsia="en-US" w:bidi="ar-SA"/>
      </w:rPr>
    </w:lvl>
    <w:lvl w:ilvl="5" w:tplc="76669D04">
      <w:numFmt w:val="bullet"/>
      <w:lvlText w:val="•"/>
      <w:lvlJc w:val="left"/>
      <w:pPr>
        <w:ind w:left="6249" w:hanging="107"/>
      </w:pPr>
      <w:rPr>
        <w:rFonts w:hint="default"/>
        <w:lang w:val="pl-PL" w:eastAsia="en-US" w:bidi="ar-SA"/>
      </w:rPr>
    </w:lvl>
    <w:lvl w:ilvl="6" w:tplc="4E7451F6">
      <w:numFmt w:val="bullet"/>
      <w:lvlText w:val="•"/>
      <w:lvlJc w:val="left"/>
      <w:pPr>
        <w:ind w:left="7255" w:hanging="107"/>
      </w:pPr>
      <w:rPr>
        <w:rFonts w:hint="default"/>
        <w:lang w:val="pl-PL" w:eastAsia="en-US" w:bidi="ar-SA"/>
      </w:rPr>
    </w:lvl>
    <w:lvl w:ilvl="7" w:tplc="D6B6A8F4">
      <w:numFmt w:val="bullet"/>
      <w:lvlText w:val="•"/>
      <w:lvlJc w:val="left"/>
      <w:pPr>
        <w:ind w:left="8261" w:hanging="107"/>
      </w:pPr>
      <w:rPr>
        <w:rFonts w:hint="default"/>
        <w:lang w:val="pl-PL" w:eastAsia="en-US" w:bidi="ar-SA"/>
      </w:rPr>
    </w:lvl>
    <w:lvl w:ilvl="8" w:tplc="3708BB0E">
      <w:numFmt w:val="bullet"/>
      <w:lvlText w:val="•"/>
      <w:lvlJc w:val="left"/>
      <w:pPr>
        <w:ind w:left="9267" w:hanging="107"/>
      </w:pPr>
      <w:rPr>
        <w:rFonts w:hint="default"/>
        <w:lang w:val="pl-PL" w:eastAsia="en-US" w:bidi="ar-SA"/>
      </w:rPr>
    </w:lvl>
  </w:abstractNum>
  <w:abstractNum w:abstractNumId="27" w15:restartNumberingAfterBreak="0">
    <w:nsid w:val="477B791F"/>
    <w:multiLevelType w:val="hybridMultilevel"/>
    <w:tmpl w:val="FAF41314"/>
    <w:lvl w:ilvl="0" w:tplc="5B8CA614">
      <w:start w:val="1"/>
      <w:numFmt w:val="lowerRoman"/>
      <w:lvlText w:val="%1."/>
      <w:lvlJc w:val="left"/>
      <w:pPr>
        <w:ind w:left="361" w:hanging="141"/>
      </w:pPr>
      <w:rPr>
        <w:rFonts w:ascii="Calibri" w:eastAsia="Calibri" w:hAnsi="Calibri" w:cs="Calibri" w:hint="default"/>
        <w:b w:val="0"/>
        <w:bCs w:val="0"/>
        <w:i w:val="0"/>
        <w:iCs w:val="0"/>
        <w:spacing w:val="-1"/>
        <w:w w:val="99"/>
        <w:sz w:val="20"/>
        <w:szCs w:val="20"/>
        <w:lang w:val="pl-PL" w:eastAsia="en-US" w:bidi="ar-SA"/>
      </w:rPr>
    </w:lvl>
    <w:lvl w:ilvl="1" w:tplc="DEC4BD7C">
      <w:numFmt w:val="bullet"/>
      <w:lvlText w:val="•"/>
      <w:lvlJc w:val="left"/>
      <w:pPr>
        <w:ind w:left="954" w:hanging="141"/>
      </w:pPr>
      <w:rPr>
        <w:rFonts w:hint="default"/>
        <w:lang w:val="pl-PL" w:eastAsia="en-US" w:bidi="ar-SA"/>
      </w:rPr>
    </w:lvl>
    <w:lvl w:ilvl="2" w:tplc="C206E126">
      <w:numFmt w:val="bullet"/>
      <w:lvlText w:val="•"/>
      <w:lvlJc w:val="left"/>
      <w:pPr>
        <w:ind w:left="1549" w:hanging="141"/>
      </w:pPr>
      <w:rPr>
        <w:rFonts w:hint="default"/>
        <w:lang w:val="pl-PL" w:eastAsia="en-US" w:bidi="ar-SA"/>
      </w:rPr>
    </w:lvl>
    <w:lvl w:ilvl="3" w:tplc="27E26B92">
      <w:numFmt w:val="bullet"/>
      <w:lvlText w:val="•"/>
      <w:lvlJc w:val="left"/>
      <w:pPr>
        <w:ind w:left="2144" w:hanging="141"/>
      </w:pPr>
      <w:rPr>
        <w:rFonts w:hint="default"/>
        <w:lang w:val="pl-PL" w:eastAsia="en-US" w:bidi="ar-SA"/>
      </w:rPr>
    </w:lvl>
    <w:lvl w:ilvl="4" w:tplc="209C5B9A">
      <w:numFmt w:val="bullet"/>
      <w:lvlText w:val="•"/>
      <w:lvlJc w:val="left"/>
      <w:pPr>
        <w:ind w:left="2739" w:hanging="141"/>
      </w:pPr>
      <w:rPr>
        <w:rFonts w:hint="default"/>
        <w:lang w:val="pl-PL" w:eastAsia="en-US" w:bidi="ar-SA"/>
      </w:rPr>
    </w:lvl>
    <w:lvl w:ilvl="5" w:tplc="8AD2025A">
      <w:numFmt w:val="bullet"/>
      <w:lvlText w:val="•"/>
      <w:lvlJc w:val="left"/>
      <w:pPr>
        <w:ind w:left="3334" w:hanging="141"/>
      </w:pPr>
      <w:rPr>
        <w:rFonts w:hint="default"/>
        <w:lang w:val="pl-PL" w:eastAsia="en-US" w:bidi="ar-SA"/>
      </w:rPr>
    </w:lvl>
    <w:lvl w:ilvl="6" w:tplc="83A48F64">
      <w:numFmt w:val="bullet"/>
      <w:lvlText w:val="•"/>
      <w:lvlJc w:val="left"/>
      <w:pPr>
        <w:ind w:left="3928" w:hanging="141"/>
      </w:pPr>
      <w:rPr>
        <w:rFonts w:hint="default"/>
        <w:lang w:val="pl-PL" w:eastAsia="en-US" w:bidi="ar-SA"/>
      </w:rPr>
    </w:lvl>
    <w:lvl w:ilvl="7" w:tplc="5582D38A">
      <w:numFmt w:val="bullet"/>
      <w:lvlText w:val="•"/>
      <w:lvlJc w:val="left"/>
      <w:pPr>
        <w:ind w:left="4523" w:hanging="141"/>
      </w:pPr>
      <w:rPr>
        <w:rFonts w:hint="default"/>
        <w:lang w:val="pl-PL" w:eastAsia="en-US" w:bidi="ar-SA"/>
      </w:rPr>
    </w:lvl>
    <w:lvl w:ilvl="8" w:tplc="CE065A08">
      <w:numFmt w:val="bullet"/>
      <w:lvlText w:val="•"/>
      <w:lvlJc w:val="left"/>
      <w:pPr>
        <w:ind w:left="5118" w:hanging="141"/>
      </w:pPr>
      <w:rPr>
        <w:rFonts w:hint="default"/>
        <w:lang w:val="pl-PL" w:eastAsia="en-US" w:bidi="ar-SA"/>
      </w:rPr>
    </w:lvl>
  </w:abstractNum>
  <w:abstractNum w:abstractNumId="28" w15:restartNumberingAfterBreak="0">
    <w:nsid w:val="48A92F2B"/>
    <w:multiLevelType w:val="hybridMultilevel"/>
    <w:tmpl w:val="6EC4DF6E"/>
    <w:lvl w:ilvl="0" w:tplc="22AC9078">
      <w:start w:val="1"/>
      <w:numFmt w:val="decimal"/>
      <w:lvlText w:val="%1)"/>
      <w:lvlJc w:val="left"/>
      <w:pPr>
        <w:ind w:left="1545" w:hanging="217"/>
      </w:pPr>
      <w:rPr>
        <w:rFonts w:ascii="Calibri" w:eastAsia="Calibri" w:hAnsi="Calibri" w:cs="Calibri" w:hint="default"/>
        <w:b w:val="0"/>
        <w:bCs w:val="0"/>
        <w:i w:val="0"/>
        <w:iCs w:val="0"/>
        <w:spacing w:val="0"/>
        <w:w w:val="99"/>
        <w:sz w:val="18"/>
        <w:szCs w:val="18"/>
        <w:lang w:val="pl-PL" w:eastAsia="en-US" w:bidi="ar-SA"/>
      </w:rPr>
    </w:lvl>
    <w:lvl w:ilvl="1" w:tplc="C2A6DD4C">
      <w:numFmt w:val="bullet"/>
      <w:lvlText w:val="•"/>
      <w:lvlJc w:val="left"/>
      <w:pPr>
        <w:ind w:left="2513" w:hanging="217"/>
      </w:pPr>
      <w:rPr>
        <w:rFonts w:hint="default"/>
        <w:lang w:val="pl-PL" w:eastAsia="en-US" w:bidi="ar-SA"/>
      </w:rPr>
    </w:lvl>
    <w:lvl w:ilvl="2" w:tplc="48FA0060">
      <w:numFmt w:val="bullet"/>
      <w:lvlText w:val="•"/>
      <w:lvlJc w:val="left"/>
      <w:pPr>
        <w:ind w:left="3487" w:hanging="217"/>
      </w:pPr>
      <w:rPr>
        <w:rFonts w:hint="default"/>
        <w:lang w:val="pl-PL" w:eastAsia="en-US" w:bidi="ar-SA"/>
      </w:rPr>
    </w:lvl>
    <w:lvl w:ilvl="3" w:tplc="BDF8462A">
      <w:numFmt w:val="bullet"/>
      <w:lvlText w:val="•"/>
      <w:lvlJc w:val="left"/>
      <w:pPr>
        <w:ind w:left="4461" w:hanging="217"/>
      </w:pPr>
      <w:rPr>
        <w:rFonts w:hint="default"/>
        <w:lang w:val="pl-PL" w:eastAsia="en-US" w:bidi="ar-SA"/>
      </w:rPr>
    </w:lvl>
    <w:lvl w:ilvl="4" w:tplc="04BA9E74">
      <w:numFmt w:val="bullet"/>
      <w:lvlText w:val="•"/>
      <w:lvlJc w:val="left"/>
      <w:pPr>
        <w:ind w:left="5435" w:hanging="217"/>
      </w:pPr>
      <w:rPr>
        <w:rFonts w:hint="default"/>
        <w:lang w:val="pl-PL" w:eastAsia="en-US" w:bidi="ar-SA"/>
      </w:rPr>
    </w:lvl>
    <w:lvl w:ilvl="5" w:tplc="4510C976">
      <w:numFmt w:val="bullet"/>
      <w:lvlText w:val="•"/>
      <w:lvlJc w:val="left"/>
      <w:pPr>
        <w:ind w:left="6409" w:hanging="217"/>
      </w:pPr>
      <w:rPr>
        <w:rFonts w:hint="default"/>
        <w:lang w:val="pl-PL" w:eastAsia="en-US" w:bidi="ar-SA"/>
      </w:rPr>
    </w:lvl>
    <w:lvl w:ilvl="6" w:tplc="3998F81A">
      <w:numFmt w:val="bullet"/>
      <w:lvlText w:val="•"/>
      <w:lvlJc w:val="left"/>
      <w:pPr>
        <w:ind w:left="7383" w:hanging="217"/>
      </w:pPr>
      <w:rPr>
        <w:rFonts w:hint="default"/>
        <w:lang w:val="pl-PL" w:eastAsia="en-US" w:bidi="ar-SA"/>
      </w:rPr>
    </w:lvl>
    <w:lvl w:ilvl="7" w:tplc="B5DE72AE">
      <w:numFmt w:val="bullet"/>
      <w:lvlText w:val="•"/>
      <w:lvlJc w:val="left"/>
      <w:pPr>
        <w:ind w:left="8357" w:hanging="217"/>
      </w:pPr>
      <w:rPr>
        <w:rFonts w:hint="default"/>
        <w:lang w:val="pl-PL" w:eastAsia="en-US" w:bidi="ar-SA"/>
      </w:rPr>
    </w:lvl>
    <w:lvl w:ilvl="8" w:tplc="F0A693E2">
      <w:numFmt w:val="bullet"/>
      <w:lvlText w:val="•"/>
      <w:lvlJc w:val="left"/>
      <w:pPr>
        <w:ind w:left="9331" w:hanging="217"/>
      </w:pPr>
      <w:rPr>
        <w:rFonts w:hint="default"/>
        <w:lang w:val="pl-PL" w:eastAsia="en-US" w:bidi="ar-SA"/>
      </w:rPr>
    </w:lvl>
  </w:abstractNum>
  <w:abstractNum w:abstractNumId="29" w15:restartNumberingAfterBreak="0">
    <w:nsid w:val="4BCE6464"/>
    <w:multiLevelType w:val="hybridMultilevel"/>
    <w:tmpl w:val="2000F71C"/>
    <w:lvl w:ilvl="0" w:tplc="A2F056BE">
      <w:start w:val="15"/>
      <w:numFmt w:val="decimal"/>
      <w:lvlText w:val="%1."/>
      <w:lvlJc w:val="left"/>
      <w:pPr>
        <w:ind w:left="1821" w:hanging="704"/>
      </w:pPr>
      <w:rPr>
        <w:rFonts w:ascii="Calibri" w:eastAsia="Calibri" w:hAnsi="Calibri" w:cs="Calibri" w:hint="default"/>
        <w:b/>
        <w:bCs/>
        <w:i w:val="0"/>
        <w:iCs w:val="0"/>
        <w:color w:val="BF0000"/>
        <w:spacing w:val="-1"/>
        <w:w w:val="100"/>
        <w:sz w:val="28"/>
        <w:szCs w:val="28"/>
        <w:lang w:val="pl-PL" w:eastAsia="en-US" w:bidi="ar-SA"/>
      </w:rPr>
    </w:lvl>
    <w:lvl w:ilvl="1" w:tplc="40765434">
      <w:numFmt w:val="bullet"/>
      <w:lvlText w:val="-"/>
      <w:lvlJc w:val="left"/>
      <w:pPr>
        <w:ind w:left="1224" w:hanging="107"/>
      </w:pPr>
      <w:rPr>
        <w:rFonts w:ascii="Calibri" w:eastAsia="Calibri" w:hAnsi="Calibri" w:cs="Calibri" w:hint="default"/>
        <w:b w:val="0"/>
        <w:bCs w:val="0"/>
        <w:i w:val="0"/>
        <w:iCs w:val="0"/>
        <w:spacing w:val="0"/>
        <w:w w:val="99"/>
        <w:sz w:val="20"/>
        <w:szCs w:val="20"/>
        <w:lang w:val="pl-PL" w:eastAsia="en-US" w:bidi="ar-SA"/>
      </w:rPr>
    </w:lvl>
    <w:lvl w:ilvl="2" w:tplc="E398CA02">
      <w:numFmt w:val="bullet"/>
      <w:lvlText w:val="•"/>
      <w:lvlJc w:val="left"/>
      <w:pPr>
        <w:ind w:left="2871" w:hanging="107"/>
      </w:pPr>
      <w:rPr>
        <w:rFonts w:hint="default"/>
        <w:lang w:val="pl-PL" w:eastAsia="en-US" w:bidi="ar-SA"/>
      </w:rPr>
    </w:lvl>
    <w:lvl w:ilvl="3" w:tplc="436A9766">
      <w:numFmt w:val="bullet"/>
      <w:lvlText w:val="•"/>
      <w:lvlJc w:val="left"/>
      <w:pPr>
        <w:ind w:left="3922" w:hanging="107"/>
      </w:pPr>
      <w:rPr>
        <w:rFonts w:hint="default"/>
        <w:lang w:val="pl-PL" w:eastAsia="en-US" w:bidi="ar-SA"/>
      </w:rPr>
    </w:lvl>
    <w:lvl w:ilvl="4" w:tplc="C122EC1C">
      <w:numFmt w:val="bullet"/>
      <w:lvlText w:val="•"/>
      <w:lvlJc w:val="left"/>
      <w:pPr>
        <w:ind w:left="4973" w:hanging="107"/>
      </w:pPr>
      <w:rPr>
        <w:rFonts w:hint="default"/>
        <w:lang w:val="pl-PL" w:eastAsia="en-US" w:bidi="ar-SA"/>
      </w:rPr>
    </w:lvl>
    <w:lvl w:ilvl="5" w:tplc="8DB4C2A6">
      <w:numFmt w:val="bullet"/>
      <w:lvlText w:val="•"/>
      <w:lvlJc w:val="left"/>
      <w:pPr>
        <w:ind w:left="6024" w:hanging="107"/>
      </w:pPr>
      <w:rPr>
        <w:rFonts w:hint="default"/>
        <w:lang w:val="pl-PL" w:eastAsia="en-US" w:bidi="ar-SA"/>
      </w:rPr>
    </w:lvl>
    <w:lvl w:ilvl="6" w:tplc="DF4857D6">
      <w:numFmt w:val="bullet"/>
      <w:lvlText w:val="•"/>
      <w:lvlJc w:val="left"/>
      <w:pPr>
        <w:ind w:left="7075" w:hanging="107"/>
      </w:pPr>
      <w:rPr>
        <w:rFonts w:hint="default"/>
        <w:lang w:val="pl-PL" w:eastAsia="en-US" w:bidi="ar-SA"/>
      </w:rPr>
    </w:lvl>
    <w:lvl w:ilvl="7" w:tplc="2AB0F48C">
      <w:numFmt w:val="bullet"/>
      <w:lvlText w:val="•"/>
      <w:lvlJc w:val="left"/>
      <w:pPr>
        <w:ind w:left="8126" w:hanging="107"/>
      </w:pPr>
      <w:rPr>
        <w:rFonts w:hint="default"/>
        <w:lang w:val="pl-PL" w:eastAsia="en-US" w:bidi="ar-SA"/>
      </w:rPr>
    </w:lvl>
    <w:lvl w:ilvl="8" w:tplc="32729A2E">
      <w:numFmt w:val="bullet"/>
      <w:lvlText w:val="•"/>
      <w:lvlJc w:val="left"/>
      <w:pPr>
        <w:ind w:left="9177" w:hanging="107"/>
      </w:pPr>
      <w:rPr>
        <w:rFonts w:hint="default"/>
        <w:lang w:val="pl-PL" w:eastAsia="en-US" w:bidi="ar-SA"/>
      </w:rPr>
    </w:lvl>
  </w:abstractNum>
  <w:abstractNum w:abstractNumId="30" w15:restartNumberingAfterBreak="0">
    <w:nsid w:val="4BD459C9"/>
    <w:multiLevelType w:val="hybridMultilevel"/>
    <w:tmpl w:val="A080DC56"/>
    <w:lvl w:ilvl="0" w:tplc="7326DC30">
      <w:numFmt w:val="bullet"/>
      <w:lvlText w:val="-"/>
      <w:lvlJc w:val="left"/>
      <w:pPr>
        <w:ind w:left="1117" w:hanging="107"/>
      </w:pPr>
      <w:rPr>
        <w:rFonts w:ascii="Calibri" w:eastAsia="Calibri" w:hAnsi="Calibri" w:cs="Calibri" w:hint="default"/>
        <w:b w:val="0"/>
        <w:bCs w:val="0"/>
        <w:i w:val="0"/>
        <w:iCs w:val="0"/>
        <w:spacing w:val="0"/>
        <w:w w:val="99"/>
        <w:sz w:val="20"/>
        <w:szCs w:val="20"/>
        <w:lang w:val="pl-PL" w:eastAsia="en-US" w:bidi="ar-SA"/>
      </w:rPr>
    </w:lvl>
    <w:lvl w:ilvl="1" w:tplc="B1EA1076">
      <w:numFmt w:val="bullet"/>
      <w:lvlText w:val="•"/>
      <w:lvlJc w:val="left"/>
      <w:pPr>
        <w:ind w:left="2135" w:hanging="107"/>
      </w:pPr>
      <w:rPr>
        <w:rFonts w:hint="default"/>
        <w:lang w:val="pl-PL" w:eastAsia="en-US" w:bidi="ar-SA"/>
      </w:rPr>
    </w:lvl>
    <w:lvl w:ilvl="2" w:tplc="D5001B6C">
      <w:numFmt w:val="bullet"/>
      <w:lvlText w:val="•"/>
      <w:lvlJc w:val="left"/>
      <w:pPr>
        <w:ind w:left="3151" w:hanging="107"/>
      </w:pPr>
      <w:rPr>
        <w:rFonts w:hint="default"/>
        <w:lang w:val="pl-PL" w:eastAsia="en-US" w:bidi="ar-SA"/>
      </w:rPr>
    </w:lvl>
    <w:lvl w:ilvl="3" w:tplc="422E311A">
      <w:numFmt w:val="bullet"/>
      <w:lvlText w:val="•"/>
      <w:lvlJc w:val="left"/>
      <w:pPr>
        <w:ind w:left="4167" w:hanging="107"/>
      </w:pPr>
      <w:rPr>
        <w:rFonts w:hint="default"/>
        <w:lang w:val="pl-PL" w:eastAsia="en-US" w:bidi="ar-SA"/>
      </w:rPr>
    </w:lvl>
    <w:lvl w:ilvl="4" w:tplc="064CD07E">
      <w:numFmt w:val="bullet"/>
      <w:lvlText w:val="•"/>
      <w:lvlJc w:val="left"/>
      <w:pPr>
        <w:ind w:left="5183" w:hanging="107"/>
      </w:pPr>
      <w:rPr>
        <w:rFonts w:hint="default"/>
        <w:lang w:val="pl-PL" w:eastAsia="en-US" w:bidi="ar-SA"/>
      </w:rPr>
    </w:lvl>
    <w:lvl w:ilvl="5" w:tplc="171E5090">
      <w:numFmt w:val="bullet"/>
      <w:lvlText w:val="•"/>
      <w:lvlJc w:val="left"/>
      <w:pPr>
        <w:ind w:left="6199" w:hanging="107"/>
      </w:pPr>
      <w:rPr>
        <w:rFonts w:hint="default"/>
        <w:lang w:val="pl-PL" w:eastAsia="en-US" w:bidi="ar-SA"/>
      </w:rPr>
    </w:lvl>
    <w:lvl w:ilvl="6" w:tplc="34C86596">
      <w:numFmt w:val="bullet"/>
      <w:lvlText w:val="•"/>
      <w:lvlJc w:val="left"/>
      <w:pPr>
        <w:ind w:left="7215" w:hanging="107"/>
      </w:pPr>
      <w:rPr>
        <w:rFonts w:hint="default"/>
        <w:lang w:val="pl-PL" w:eastAsia="en-US" w:bidi="ar-SA"/>
      </w:rPr>
    </w:lvl>
    <w:lvl w:ilvl="7" w:tplc="812E3342">
      <w:numFmt w:val="bullet"/>
      <w:lvlText w:val="•"/>
      <w:lvlJc w:val="left"/>
      <w:pPr>
        <w:ind w:left="8231" w:hanging="107"/>
      </w:pPr>
      <w:rPr>
        <w:rFonts w:hint="default"/>
        <w:lang w:val="pl-PL" w:eastAsia="en-US" w:bidi="ar-SA"/>
      </w:rPr>
    </w:lvl>
    <w:lvl w:ilvl="8" w:tplc="F3A80C78">
      <w:numFmt w:val="bullet"/>
      <w:lvlText w:val="•"/>
      <w:lvlJc w:val="left"/>
      <w:pPr>
        <w:ind w:left="9247" w:hanging="107"/>
      </w:pPr>
      <w:rPr>
        <w:rFonts w:hint="default"/>
        <w:lang w:val="pl-PL" w:eastAsia="en-US" w:bidi="ar-SA"/>
      </w:rPr>
    </w:lvl>
  </w:abstractNum>
  <w:abstractNum w:abstractNumId="31" w15:restartNumberingAfterBreak="0">
    <w:nsid w:val="4D0E499D"/>
    <w:multiLevelType w:val="hybridMultilevel"/>
    <w:tmpl w:val="A60A640A"/>
    <w:lvl w:ilvl="0" w:tplc="2A80C5C8">
      <w:numFmt w:val="bullet"/>
      <w:lvlText w:val="-"/>
      <w:lvlJc w:val="left"/>
      <w:pPr>
        <w:ind w:left="1224" w:hanging="107"/>
      </w:pPr>
      <w:rPr>
        <w:rFonts w:ascii="Calibri" w:eastAsia="Calibri" w:hAnsi="Calibri" w:cs="Calibri" w:hint="default"/>
        <w:b w:val="0"/>
        <w:bCs w:val="0"/>
        <w:i w:val="0"/>
        <w:iCs w:val="0"/>
        <w:spacing w:val="0"/>
        <w:w w:val="99"/>
        <w:sz w:val="20"/>
        <w:szCs w:val="20"/>
        <w:lang w:val="pl-PL" w:eastAsia="en-US" w:bidi="ar-SA"/>
      </w:rPr>
    </w:lvl>
    <w:lvl w:ilvl="1" w:tplc="13261512">
      <w:numFmt w:val="bullet"/>
      <w:lvlText w:val="•"/>
      <w:lvlJc w:val="left"/>
      <w:pPr>
        <w:ind w:left="2225" w:hanging="107"/>
      </w:pPr>
      <w:rPr>
        <w:rFonts w:hint="default"/>
        <w:lang w:val="pl-PL" w:eastAsia="en-US" w:bidi="ar-SA"/>
      </w:rPr>
    </w:lvl>
    <w:lvl w:ilvl="2" w:tplc="B0CC008E">
      <w:numFmt w:val="bullet"/>
      <w:lvlText w:val="•"/>
      <w:lvlJc w:val="left"/>
      <w:pPr>
        <w:ind w:left="3231" w:hanging="107"/>
      </w:pPr>
      <w:rPr>
        <w:rFonts w:hint="default"/>
        <w:lang w:val="pl-PL" w:eastAsia="en-US" w:bidi="ar-SA"/>
      </w:rPr>
    </w:lvl>
    <w:lvl w:ilvl="3" w:tplc="BAD071F2">
      <w:numFmt w:val="bullet"/>
      <w:lvlText w:val="•"/>
      <w:lvlJc w:val="left"/>
      <w:pPr>
        <w:ind w:left="4237" w:hanging="107"/>
      </w:pPr>
      <w:rPr>
        <w:rFonts w:hint="default"/>
        <w:lang w:val="pl-PL" w:eastAsia="en-US" w:bidi="ar-SA"/>
      </w:rPr>
    </w:lvl>
    <w:lvl w:ilvl="4" w:tplc="C70CA304">
      <w:numFmt w:val="bullet"/>
      <w:lvlText w:val="•"/>
      <w:lvlJc w:val="left"/>
      <w:pPr>
        <w:ind w:left="5243" w:hanging="107"/>
      </w:pPr>
      <w:rPr>
        <w:rFonts w:hint="default"/>
        <w:lang w:val="pl-PL" w:eastAsia="en-US" w:bidi="ar-SA"/>
      </w:rPr>
    </w:lvl>
    <w:lvl w:ilvl="5" w:tplc="744C28AE">
      <w:numFmt w:val="bullet"/>
      <w:lvlText w:val="•"/>
      <w:lvlJc w:val="left"/>
      <w:pPr>
        <w:ind w:left="6249" w:hanging="107"/>
      </w:pPr>
      <w:rPr>
        <w:rFonts w:hint="default"/>
        <w:lang w:val="pl-PL" w:eastAsia="en-US" w:bidi="ar-SA"/>
      </w:rPr>
    </w:lvl>
    <w:lvl w:ilvl="6" w:tplc="1662EBD8">
      <w:numFmt w:val="bullet"/>
      <w:lvlText w:val="•"/>
      <w:lvlJc w:val="left"/>
      <w:pPr>
        <w:ind w:left="7255" w:hanging="107"/>
      </w:pPr>
      <w:rPr>
        <w:rFonts w:hint="default"/>
        <w:lang w:val="pl-PL" w:eastAsia="en-US" w:bidi="ar-SA"/>
      </w:rPr>
    </w:lvl>
    <w:lvl w:ilvl="7" w:tplc="5F5CC1E2">
      <w:numFmt w:val="bullet"/>
      <w:lvlText w:val="•"/>
      <w:lvlJc w:val="left"/>
      <w:pPr>
        <w:ind w:left="8261" w:hanging="107"/>
      </w:pPr>
      <w:rPr>
        <w:rFonts w:hint="default"/>
        <w:lang w:val="pl-PL" w:eastAsia="en-US" w:bidi="ar-SA"/>
      </w:rPr>
    </w:lvl>
    <w:lvl w:ilvl="8" w:tplc="74BE217C">
      <w:numFmt w:val="bullet"/>
      <w:lvlText w:val="•"/>
      <w:lvlJc w:val="left"/>
      <w:pPr>
        <w:ind w:left="9267" w:hanging="107"/>
      </w:pPr>
      <w:rPr>
        <w:rFonts w:hint="default"/>
        <w:lang w:val="pl-PL" w:eastAsia="en-US" w:bidi="ar-SA"/>
      </w:rPr>
    </w:lvl>
  </w:abstractNum>
  <w:abstractNum w:abstractNumId="32" w15:restartNumberingAfterBreak="0">
    <w:nsid w:val="56B35CF5"/>
    <w:multiLevelType w:val="multilevel"/>
    <w:tmpl w:val="D618065A"/>
    <w:lvl w:ilvl="0">
      <w:start w:val="1"/>
      <w:numFmt w:val="decimal"/>
      <w:lvlText w:val="%1"/>
      <w:lvlJc w:val="left"/>
      <w:pPr>
        <w:ind w:left="1400" w:hanging="891"/>
      </w:pPr>
      <w:rPr>
        <w:rFonts w:ascii="Calibri" w:eastAsia="Calibri" w:hAnsi="Calibri" w:cs="Calibri" w:hint="default"/>
        <w:b w:val="0"/>
        <w:bCs w:val="0"/>
        <w:i w:val="0"/>
        <w:iCs w:val="0"/>
        <w:spacing w:val="0"/>
        <w:w w:val="100"/>
        <w:sz w:val="18"/>
        <w:szCs w:val="18"/>
        <w:lang w:val="pl-PL" w:eastAsia="en-US" w:bidi="ar-SA"/>
      </w:rPr>
    </w:lvl>
    <w:lvl w:ilvl="1">
      <w:start w:val="1"/>
      <w:numFmt w:val="decimal"/>
      <w:lvlText w:val="%1.%2"/>
      <w:lvlJc w:val="left"/>
      <w:pPr>
        <w:ind w:left="1400" w:hanging="711"/>
      </w:pPr>
      <w:rPr>
        <w:rFonts w:ascii="Calibri" w:eastAsia="Calibri" w:hAnsi="Calibri" w:cs="Calibri" w:hint="default"/>
        <w:b w:val="0"/>
        <w:bCs w:val="0"/>
        <w:i w:val="0"/>
        <w:iCs w:val="0"/>
        <w:spacing w:val="-1"/>
        <w:w w:val="97"/>
        <w:sz w:val="18"/>
        <w:szCs w:val="18"/>
        <w:lang w:val="pl-PL" w:eastAsia="en-US" w:bidi="ar-SA"/>
      </w:rPr>
    </w:lvl>
    <w:lvl w:ilvl="2">
      <w:start w:val="1"/>
      <w:numFmt w:val="decimal"/>
      <w:lvlText w:val="%1.%2.%3"/>
      <w:lvlJc w:val="left"/>
      <w:pPr>
        <w:ind w:left="1783" w:hanging="711"/>
      </w:pPr>
      <w:rPr>
        <w:rFonts w:ascii="Calibri" w:eastAsia="Calibri" w:hAnsi="Calibri" w:cs="Calibri" w:hint="default"/>
        <w:b w:val="0"/>
        <w:bCs w:val="0"/>
        <w:i/>
        <w:iCs/>
        <w:spacing w:val="-1"/>
        <w:w w:val="97"/>
        <w:sz w:val="18"/>
        <w:szCs w:val="18"/>
        <w:lang w:val="pl-PL" w:eastAsia="en-US" w:bidi="ar-SA"/>
      </w:rPr>
    </w:lvl>
    <w:lvl w:ilvl="3">
      <w:numFmt w:val="bullet"/>
      <w:lvlText w:val="•"/>
      <w:lvlJc w:val="left"/>
      <w:pPr>
        <w:ind w:left="3890" w:hanging="711"/>
      </w:pPr>
      <w:rPr>
        <w:rFonts w:hint="default"/>
        <w:lang w:val="pl-PL" w:eastAsia="en-US" w:bidi="ar-SA"/>
      </w:rPr>
    </w:lvl>
    <w:lvl w:ilvl="4">
      <w:numFmt w:val="bullet"/>
      <w:lvlText w:val="•"/>
      <w:lvlJc w:val="left"/>
      <w:pPr>
        <w:ind w:left="4946" w:hanging="711"/>
      </w:pPr>
      <w:rPr>
        <w:rFonts w:hint="default"/>
        <w:lang w:val="pl-PL" w:eastAsia="en-US" w:bidi="ar-SA"/>
      </w:rPr>
    </w:lvl>
    <w:lvl w:ilvl="5">
      <w:numFmt w:val="bullet"/>
      <w:lvlText w:val="•"/>
      <w:lvlJc w:val="left"/>
      <w:pPr>
        <w:ind w:left="6001" w:hanging="711"/>
      </w:pPr>
      <w:rPr>
        <w:rFonts w:hint="default"/>
        <w:lang w:val="pl-PL" w:eastAsia="en-US" w:bidi="ar-SA"/>
      </w:rPr>
    </w:lvl>
    <w:lvl w:ilvl="6">
      <w:numFmt w:val="bullet"/>
      <w:lvlText w:val="•"/>
      <w:lvlJc w:val="left"/>
      <w:pPr>
        <w:ind w:left="7057" w:hanging="711"/>
      </w:pPr>
      <w:rPr>
        <w:rFonts w:hint="default"/>
        <w:lang w:val="pl-PL" w:eastAsia="en-US" w:bidi="ar-SA"/>
      </w:rPr>
    </w:lvl>
    <w:lvl w:ilvl="7">
      <w:numFmt w:val="bullet"/>
      <w:lvlText w:val="•"/>
      <w:lvlJc w:val="left"/>
      <w:pPr>
        <w:ind w:left="8112" w:hanging="711"/>
      </w:pPr>
      <w:rPr>
        <w:rFonts w:hint="default"/>
        <w:lang w:val="pl-PL" w:eastAsia="en-US" w:bidi="ar-SA"/>
      </w:rPr>
    </w:lvl>
    <w:lvl w:ilvl="8">
      <w:numFmt w:val="bullet"/>
      <w:lvlText w:val="•"/>
      <w:lvlJc w:val="left"/>
      <w:pPr>
        <w:ind w:left="9168" w:hanging="711"/>
      </w:pPr>
      <w:rPr>
        <w:rFonts w:hint="default"/>
        <w:lang w:val="pl-PL" w:eastAsia="en-US" w:bidi="ar-SA"/>
      </w:rPr>
    </w:lvl>
  </w:abstractNum>
  <w:abstractNum w:abstractNumId="33" w15:restartNumberingAfterBreak="0">
    <w:nsid w:val="598877FF"/>
    <w:multiLevelType w:val="hybridMultilevel"/>
    <w:tmpl w:val="9B907A68"/>
    <w:lvl w:ilvl="0" w:tplc="832486CE">
      <w:numFmt w:val="bullet"/>
      <w:lvlText w:val="-"/>
      <w:lvlJc w:val="left"/>
      <w:pPr>
        <w:ind w:left="106" w:hanging="107"/>
      </w:pPr>
      <w:rPr>
        <w:rFonts w:ascii="Calibri" w:eastAsia="Calibri" w:hAnsi="Calibri" w:cs="Calibri" w:hint="default"/>
        <w:b w:val="0"/>
        <w:bCs w:val="0"/>
        <w:i w:val="0"/>
        <w:iCs w:val="0"/>
        <w:spacing w:val="0"/>
        <w:w w:val="99"/>
        <w:sz w:val="20"/>
        <w:szCs w:val="20"/>
        <w:lang w:val="pl-PL" w:eastAsia="en-US" w:bidi="ar-SA"/>
      </w:rPr>
    </w:lvl>
    <w:lvl w:ilvl="1" w:tplc="F9500108">
      <w:numFmt w:val="bullet"/>
      <w:lvlText w:val="•"/>
      <w:lvlJc w:val="left"/>
      <w:pPr>
        <w:ind w:left="679" w:hanging="107"/>
      </w:pPr>
      <w:rPr>
        <w:rFonts w:hint="default"/>
        <w:lang w:val="pl-PL" w:eastAsia="en-US" w:bidi="ar-SA"/>
      </w:rPr>
    </w:lvl>
    <w:lvl w:ilvl="2" w:tplc="CAB61C68">
      <w:numFmt w:val="bullet"/>
      <w:lvlText w:val="•"/>
      <w:lvlJc w:val="left"/>
      <w:pPr>
        <w:ind w:left="1258" w:hanging="107"/>
      </w:pPr>
      <w:rPr>
        <w:rFonts w:hint="default"/>
        <w:lang w:val="pl-PL" w:eastAsia="en-US" w:bidi="ar-SA"/>
      </w:rPr>
    </w:lvl>
    <w:lvl w:ilvl="3" w:tplc="0486C492">
      <w:numFmt w:val="bullet"/>
      <w:lvlText w:val="•"/>
      <w:lvlJc w:val="left"/>
      <w:pPr>
        <w:ind w:left="1837" w:hanging="107"/>
      </w:pPr>
      <w:rPr>
        <w:rFonts w:hint="default"/>
        <w:lang w:val="pl-PL" w:eastAsia="en-US" w:bidi="ar-SA"/>
      </w:rPr>
    </w:lvl>
    <w:lvl w:ilvl="4" w:tplc="BA280BE8">
      <w:numFmt w:val="bullet"/>
      <w:lvlText w:val="•"/>
      <w:lvlJc w:val="left"/>
      <w:pPr>
        <w:ind w:left="2416" w:hanging="107"/>
      </w:pPr>
      <w:rPr>
        <w:rFonts w:hint="default"/>
        <w:lang w:val="pl-PL" w:eastAsia="en-US" w:bidi="ar-SA"/>
      </w:rPr>
    </w:lvl>
    <w:lvl w:ilvl="5" w:tplc="030C22AA">
      <w:numFmt w:val="bullet"/>
      <w:lvlText w:val="•"/>
      <w:lvlJc w:val="left"/>
      <w:pPr>
        <w:ind w:left="2995" w:hanging="107"/>
      </w:pPr>
      <w:rPr>
        <w:rFonts w:hint="default"/>
        <w:lang w:val="pl-PL" w:eastAsia="en-US" w:bidi="ar-SA"/>
      </w:rPr>
    </w:lvl>
    <w:lvl w:ilvl="6" w:tplc="37DC3AB6">
      <w:numFmt w:val="bullet"/>
      <w:lvlText w:val="•"/>
      <w:lvlJc w:val="left"/>
      <w:pPr>
        <w:ind w:left="3574" w:hanging="107"/>
      </w:pPr>
      <w:rPr>
        <w:rFonts w:hint="default"/>
        <w:lang w:val="pl-PL" w:eastAsia="en-US" w:bidi="ar-SA"/>
      </w:rPr>
    </w:lvl>
    <w:lvl w:ilvl="7" w:tplc="BC348F28">
      <w:numFmt w:val="bullet"/>
      <w:lvlText w:val="•"/>
      <w:lvlJc w:val="left"/>
      <w:pPr>
        <w:ind w:left="4154" w:hanging="107"/>
      </w:pPr>
      <w:rPr>
        <w:rFonts w:hint="default"/>
        <w:lang w:val="pl-PL" w:eastAsia="en-US" w:bidi="ar-SA"/>
      </w:rPr>
    </w:lvl>
    <w:lvl w:ilvl="8" w:tplc="5F84D492">
      <w:numFmt w:val="bullet"/>
      <w:lvlText w:val="•"/>
      <w:lvlJc w:val="left"/>
      <w:pPr>
        <w:ind w:left="4733" w:hanging="107"/>
      </w:pPr>
      <w:rPr>
        <w:rFonts w:hint="default"/>
        <w:lang w:val="pl-PL" w:eastAsia="en-US" w:bidi="ar-SA"/>
      </w:rPr>
    </w:lvl>
  </w:abstractNum>
  <w:abstractNum w:abstractNumId="34" w15:restartNumberingAfterBreak="0">
    <w:nsid w:val="608C2AB6"/>
    <w:multiLevelType w:val="hybridMultilevel"/>
    <w:tmpl w:val="618A7EFE"/>
    <w:lvl w:ilvl="0" w:tplc="4312897C">
      <w:start w:val="1"/>
      <w:numFmt w:val="lowerRoman"/>
      <w:lvlText w:val="%1."/>
      <w:lvlJc w:val="left"/>
      <w:pPr>
        <w:ind w:left="361" w:hanging="141"/>
      </w:pPr>
      <w:rPr>
        <w:rFonts w:ascii="Calibri" w:eastAsia="Calibri" w:hAnsi="Calibri" w:cs="Calibri" w:hint="default"/>
        <w:b w:val="0"/>
        <w:bCs w:val="0"/>
        <w:i w:val="0"/>
        <w:iCs w:val="0"/>
        <w:spacing w:val="-1"/>
        <w:w w:val="99"/>
        <w:sz w:val="20"/>
        <w:szCs w:val="20"/>
        <w:lang w:val="pl-PL" w:eastAsia="en-US" w:bidi="ar-SA"/>
      </w:rPr>
    </w:lvl>
    <w:lvl w:ilvl="1" w:tplc="E71830AA">
      <w:numFmt w:val="bullet"/>
      <w:lvlText w:val="•"/>
      <w:lvlJc w:val="left"/>
      <w:pPr>
        <w:ind w:left="954" w:hanging="141"/>
      </w:pPr>
      <w:rPr>
        <w:rFonts w:hint="default"/>
        <w:lang w:val="pl-PL" w:eastAsia="en-US" w:bidi="ar-SA"/>
      </w:rPr>
    </w:lvl>
    <w:lvl w:ilvl="2" w:tplc="69B249D8">
      <w:numFmt w:val="bullet"/>
      <w:lvlText w:val="•"/>
      <w:lvlJc w:val="left"/>
      <w:pPr>
        <w:ind w:left="1549" w:hanging="141"/>
      </w:pPr>
      <w:rPr>
        <w:rFonts w:hint="default"/>
        <w:lang w:val="pl-PL" w:eastAsia="en-US" w:bidi="ar-SA"/>
      </w:rPr>
    </w:lvl>
    <w:lvl w:ilvl="3" w:tplc="65DE8FB6">
      <w:numFmt w:val="bullet"/>
      <w:lvlText w:val="•"/>
      <w:lvlJc w:val="left"/>
      <w:pPr>
        <w:ind w:left="2144" w:hanging="141"/>
      </w:pPr>
      <w:rPr>
        <w:rFonts w:hint="default"/>
        <w:lang w:val="pl-PL" w:eastAsia="en-US" w:bidi="ar-SA"/>
      </w:rPr>
    </w:lvl>
    <w:lvl w:ilvl="4" w:tplc="D27A0D12">
      <w:numFmt w:val="bullet"/>
      <w:lvlText w:val="•"/>
      <w:lvlJc w:val="left"/>
      <w:pPr>
        <w:ind w:left="2739" w:hanging="141"/>
      </w:pPr>
      <w:rPr>
        <w:rFonts w:hint="default"/>
        <w:lang w:val="pl-PL" w:eastAsia="en-US" w:bidi="ar-SA"/>
      </w:rPr>
    </w:lvl>
    <w:lvl w:ilvl="5" w:tplc="F208E194">
      <w:numFmt w:val="bullet"/>
      <w:lvlText w:val="•"/>
      <w:lvlJc w:val="left"/>
      <w:pPr>
        <w:ind w:left="3334" w:hanging="141"/>
      </w:pPr>
      <w:rPr>
        <w:rFonts w:hint="default"/>
        <w:lang w:val="pl-PL" w:eastAsia="en-US" w:bidi="ar-SA"/>
      </w:rPr>
    </w:lvl>
    <w:lvl w:ilvl="6" w:tplc="8D54346A">
      <w:numFmt w:val="bullet"/>
      <w:lvlText w:val="•"/>
      <w:lvlJc w:val="left"/>
      <w:pPr>
        <w:ind w:left="3928" w:hanging="141"/>
      </w:pPr>
      <w:rPr>
        <w:rFonts w:hint="default"/>
        <w:lang w:val="pl-PL" w:eastAsia="en-US" w:bidi="ar-SA"/>
      </w:rPr>
    </w:lvl>
    <w:lvl w:ilvl="7" w:tplc="28244386">
      <w:numFmt w:val="bullet"/>
      <w:lvlText w:val="•"/>
      <w:lvlJc w:val="left"/>
      <w:pPr>
        <w:ind w:left="4523" w:hanging="141"/>
      </w:pPr>
      <w:rPr>
        <w:rFonts w:hint="default"/>
        <w:lang w:val="pl-PL" w:eastAsia="en-US" w:bidi="ar-SA"/>
      </w:rPr>
    </w:lvl>
    <w:lvl w:ilvl="8" w:tplc="DC6A4B70">
      <w:numFmt w:val="bullet"/>
      <w:lvlText w:val="•"/>
      <w:lvlJc w:val="left"/>
      <w:pPr>
        <w:ind w:left="5118" w:hanging="141"/>
      </w:pPr>
      <w:rPr>
        <w:rFonts w:hint="default"/>
        <w:lang w:val="pl-PL" w:eastAsia="en-US" w:bidi="ar-SA"/>
      </w:rPr>
    </w:lvl>
  </w:abstractNum>
  <w:abstractNum w:abstractNumId="35" w15:restartNumberingAfterBreak="0">
    <w:nsid w:val="647A7084"/>
    <w:multiLevelType w:val="hybridMultilevel"/>
    <w:tmpl w:val="8A6E355C"/>
    <w:lvl w:ilvl="0" w:tplc="6F00D778">
      <w:numFmt w:val="bullet"/>
      <w:lvlText w:val="■"/>
      <w:lvlJc w:val="left"/>
      <w:pPr>
        <w:ind w:left="1230" w:hanging="361"/>
      </w:pPr>
      <w:rPr>
        <w:rFonts w:ascii="Arial" w:eastAsia="Arial" w:hAnsi="Arial" w:cs="Arial" w:hint="default"/>
        <w:b w:val="0"/>
        <w:bCs w:val="0"/>
        <w:i w:val="0"/>
        <w:iCs w:val="0"/>
        <w:color w:val="EC7D31"/>
        <w:spacing w:val="0"/>
        <w:w w:val="123"/>
        <w:sz w:val="18"/>
        <w:szCs w:val="18"/>
        <w:lang w:val="pl-PL" w:eastAsia="en-US" w:bidi="ar-SA"/>
      </w:rPr>
    </w:lvl>
    <w:lvl w:ilvl="1" w:tplc="C1F8DE4A">
      <w:numFmt w:val="bullet"/>
      <w:lvlText w:val="•"/>
      <w:lvlJc w:val="left"/>
      <w:pPr>
        <w:ind w:left="2243" w:hanging="361"/>
      </w:pPr>
      <w:rPr>
        <w:rFonts w:hint="default"/>
        <w:lang w:val="pl-PL" w:eastAsia="en-US" w:bidi="ar-SA"/>
      </w:rPr>
    </w:lvl>
    <w:lvl w:ilvl="2" w:tplc="371A5C68">
      <w:numFmt w:val="bullet"/>
      <w:lvlText w:val="•"/>
      <w:lvlJc w:val="left"/>
      <w:pPr>
        <w:ind w:left="3247" w:hanging="361"/>
      </w:pPr>
      <w:rPr>
        <w:rFonts w:hint="default"/>
        <w:lang w:val="pl-PL" w:eastAsia="en-US" w:bidi="ar-SA"/>
      </w:rPr>
    </w:lvl>
    <w:lvl w:ilvl="3" w:tplc="94FE3DA2">
      <w:numFmt w:val="bullet"/>
      <w:lvlText w:val="•"/>
      <w:lvlJc w:val="left"/>
      <w:pPr>
        <w:ind w:left="4251" w:hanging="361"/>
      </w:pPr>
      <w:rPr>
        <w:rFonts w:hint="default"/>
        <w:lang w:val="pl-PL" w:eastAsia="en-US" w:bidi="ar-SA"/>
      </w:rPr>
    </w:lvl>
    <w:lvl w:ilvl="4" w:tplc="D98C4E9A">
      <w:numFmt w:val="bullet"/>
      <w:lvlText w:val="•"/>
      <w:lvlJc w:val="left"/>
      <w:pPr>
        <w:ind w:left="5255" w:hanging="361"/>
      </w:pPr>
      <w:rPr>
        <w:rFonts w:hint="default"/>
        <w:lang w:val="pl-PL" w:eastAsia="en-US" w:bidi="ar-SA"/>
      </w:rPr>
    </w:lvl>
    <w:lvl w:ilvl="5" w:tplc="E39A23EE">
      <w:numFmt w:val="bullet"/>
      <w:lvlText w:val="•"/>
      <w:lvlJc w:val="left"/>
      <w:pPr>
        <w:ind w:left="6259" w:hanging="361"/>
      </w:pPr>
      <w:rPr>
        <w:rFonts w:hint="default"/>
        <w:lang w:val="pl-PL" w:eastAsia="en-US" w:bidi="ar-SA"/>
      </w:rPr>
    </w:lvl>
    <w:lvl w:ilvl="6" w:tplc="CDCA488C">
      <w:numFmt w:val="bullet"/>
      <w:lvlText w:val="•"/>
      <w:lvlJc w:val="left"/>
      <w:pPr>
        <w:ind w:left="7263" w:hanging="361"/>
      </w:pPr>
      <w:rPr>
        <w:rFonts w:hint="default"/>
        <w:lang w:val="pl-PL" w:eastAsia="en-US" w:bidi="ar-SA"/>
      </w:rPr>
    </w:lvl>
    <w:lvl w:ilvl="7" w:tplc="AC721FC0">
      <w:numFmt w:val="bullet"/>
      <w:lvlText w:val="•"/>
      <w:lvlJc w:val="left"/>
      <w:pPr>
        <w:ind w:left="8267" w:hanging="361"/>
      </w:pPr>
      <w:rPr>
        <w:rFonts w:hint="default"/>
        <w:lang w:val="pl-PL" w:eastAsia="en-US" w:bidi="ar-SA"/>
      </w:rPr>
    </w:lvl>
    <w:lvl w:ilvl="8" w:tplc="8348C202">
      <w:numFmt w:val="bullet"/>
      <w:lvlText w:val="•"/>
      <w:lvlJc w:val="left"/>
      <w:pPr>
        <w:ind w:left="9271" w:hanging="361"/>
      </w:pPr>
      <w:rPr>
        <w:rFonts w:hint="default"/>
        <w:lang w:val="pl-PL" w:eastAsia="en-US" w:bidi="ar-SA"/>
      </w:rPr>
    </w:lvl>
  </w:abstractNum>
  <w:abstractNum w:abstractNumId="36" w15:restartNumberingAfterBreak="0">
    <w:nsid w:val="707160AC"/>
    <w:multiLevelType w:val="hybridMultilevel"/>
    <w:tmpl w:val="CBD68CF8"/>
    <w:lvl w:ilvl="0" w:tplc="A9862DA8">
      <w:numFmt w:val="bullet"/>
      <w:lvlText w:val="-"/>
      <w:lvlJc w:val="left"/>
      <w:pPr>
        <w:ind w:left="1224" w:hanging="107"/>
      </w:pPr>
      <w:rPr>
        <w:rFonts w:ascii="Calibri" w:eastAsia="Calibri" w:hAnsi="Calibri" w:cs="Calibri" w:hint="default"/>
        <w:b w:val="0"/>
        <w:bCs w:val="0"/>
        <w:i w:val="0"/>
        <w:iCs w:val="0"/>
        <w:spacing w:val="0"/>
        <w:w w:val="99"/>
        <w:sz w:val="20"/>
        <w:szCs w:val="20"/>
        <w:lang w:val="pl-PL" w:eastAsia="en-US" w:bidi="ar-SA"/>
      </w:rPr>
    </w:lvl>
    <w:lvl w:ilvl="1" w:tplc="F20A0298">
      <w:numFmt w:val="bullet"/>
      <w:lvlText w:val="•"/>
      <w:lvlJc w:val="left"/>
      <w:pPr>
        <w:ind w:left="2225" w:hanging="107"/>
      </w:pPr>
      <w:rPr>
        <w:rFonts w:hint="default"/>
        <w:lang w:val="pl-PL" w:eastAsia="en-US" w:bidi="ar-SA"/>
      </w:rPr>
    </w:lvl>
    <w:lvl w:ilvl="2" w:tplc="CC207F8A">
      <w:numFmt w:val="bullet"/>
      <w:lvlText w:val="•"/>
      <w:lvlJc w:val="left"/>
      <w:pPr>
        <w:ind w:left="3231" w:hanging="107"/>
      </w:pPr>
      <w:rPr>
        <w:rFonts w:hint="default"/>
        <w:lang w:val="pl-PL" w:eastAsia="en-US" w:bidi="ar-SA"/>
      </w:rPr>
    </w:lvl>
    <w:lvl w:ilvl="3" w:tplc="5A9EDE08">
      <w:numFmt w:val="bullet"/>
      <w:lvlText w:val="•"/>
      <w:lvlJc w:val="left"/>
      <w:pPr>
        <w:ind w:left="4237" w:hanging="107"/>
      </w:pPr>
      <w:rPr>
        <w:rFonts w:hint="default"/>
        <w:lang w:val="pl-PL" w:eastAsia="en-US" w:bidi="ar-SA"/>
      </w:rPr>
    </w:lvl>
    <w:lvl w:ilvl="4" w:tplc="603065EE">
      <w:numFmt w:val="bullet"/>
      <w:lvlText w:val="•"/>
      <w:lvlJc w:val="left"/>
      <w:pPr>
        <w:ind w:left="5243" w:hanging="107"/>
      </w:pPr>
      <w:rPr>
        <w:rFonts w:hint="default"/>
        <w:lang w:val="pl-PL" w:eastAsia="en-US" w:bidi="ar-SA"/>
      </w:rPr>
    </w:lvl>
    <w:lvl w:ilvl="5" w:tplc="B6E870AE">
      <w:numFmt w:val="bullet"/>
      <w:lvlText w:val="•"/>
      <w:lvlJc w:val="left"/>
      <w:pPr>
        <w:ind w:left="6249" w:hanging="107"/>
      </w:pPr>
      <w:rPr>
        <w:rFonts w:hint="default"/>
        <w:lang w:val="pl-PL" w:eastAsia="en-US" w:bidi="ar-SA"/>
      </w:rPr>
    </w:lvl>
    <w:lvl w:ilvl="6" w:tplc="1F34823C">
      <w:numFmt w:val="bullet"/>
      <w:lvlText w:val="•"/>
      <w:lvlJc w:val="left"/>
      <w:pPr>
        <w:ind w:left="7255" w:hanging="107"/>
      </w:pPr>
      <w:rPr>
        <w:rFonts w:hint="default"/>
        <w:lang w:val="pl-PL" w:eastAsia="en-US" w:bidi="ar-SA"/>
      </w:rPr>
    </w:lvl>
    <w:lvl w:ilvl="7" w:tplc="BB68FD34">
      <w:numFmt w:val="bullet"/>
      <w:lvlText w:val="•"/>
      <w:lvlJc w:val="left"/>
      <w:pPr>
        <w:ind w:left="8261" w:hanging="107"/>
      </w:pPr>
      <w:rPr>
        <w:rFonts w:hint="default"/>
        <w:lang w:val="pl-PL" w:eastAsia="en-US" w:bidi="ar-SA"/>
      </w:rPr>
    </w:lvl>
    <w:lvl w:ilvl="8" w:tplc="41F0E9C0">
      <w:numFmt w:val="bullet"/>
      <w:lvlText w:val="•"/>
      <w:lvlJc w:val="left"/>
      <w:pPr>
        <w:ind w:left="9267" w:hanging="107"/>
      </w:pPr>
      <w:rPr>
        <w:rFonts w:hint="default"/>
        <w:lang w:val="pl-PL" w:eastAsia="en-US" w:bidi="ar-SA"/>
      </w:rPr>
    </w:lvl>
  </w:abstractNum>
  <w:abstractNum w:abstractNumId="37" w15:restartNumberingAfterBreak="0">
    <w:nsid w:val="7103411C"/>
    <w:multiLevelType w:val="hybridMultilevel"/>
    <w:tmpl w:val="46BAD96C"/>
    <w:lvl w:ilvl="0" w:tplc="8CC02CF2">
      <w:start w:val="1"/>
      <w:numFmt w:val="decimal"/>
      <w:lvlText w:val="%1."/>
      <w:lvlJc w:val="left"/>
      <w:pPr>
        <w:ind w:left="1571" w:hanging="241"/>
      </w:pPr>
      <w:rPr>
        <w:rFonts w:ascii="Calibri" w:eastAsia="Calibri" w:hAnsi="Calibri" w:cs="Calibri" w:hint="default"/>
        <w:b w:val="0"/>
        <w:bCs w:val="0"/>
        <w:i w:val="0"/>
        <w:iCs w:val="0"/>
        <w:color w:val="231F20"/>
        <w:spacing w:val="0"/>
        <w:w w:val="99"/>
        <w:sz w:val="18"/>
        <w:szCs w:val="18"/>
        <w:lang w:val="pl-PL" w:eastAsia="en-US" w:bidi="ar-SA"/>
      </w:rPr>
    </w:lvl>
    <w:lvl w:ilvl="1" w:tplc="D018D560">
      <w:numFmt w:val="bullet"/>
      <w:lvlText w:val="•"/>
      <w:lvlJc w:val="left"/>
      <w:pPr>
        <w:ind w:left="2549" w:hanging="241"/>
      </w:pPr>
      <w:rPr>
        <w:rFonts w:hint="default"/>
        <w:lang w:val="pl-PL" w:eastAsia="en-US" w:bidi="ar-SA"/>
      </w:rPr>
    </w:lvl>
    <w:lvl w:ilvl="2" w:tplc="61265018">
      <w:numFmt w:val="bullet"/>
      <w:lvlText w:val="•"/>
      <w:lvlJc w:val="left"/>
      <w:pPr>
        <w:ind w:left="3519" w:hanging="241"/>
      </w:pPr>
      <w:rPr>
        <w:rFonts w:hint="default"/>
        <w:lang w:val="pl-PL" w:eastAsia="en-US" w:bidi="ar-SA"/>
      </w:rPr>
    </w:lvl>
    <w:lvl w:ilvl="3" w:tplc="2D3CB6D6">
      <w:numFmt w:val="bullet"/>
      <w:lvlText w:val="•"/>
      <w:lvlJc w:val="left"/>
      <w:pPr>
        <w:ind w:left="4489" w:hanging="241"/>
      </w:pPr>
      <w:rPr>
        <w:rFonts w:hint="default"/>
        <w:lang w:val="pl-PL" w:eastAsia="en-US" w:bidi="ar-SA"/>
      </w:rPr>
    </w:lvl>
    <w:lvl w:ilvl="4" w:tplc="D7546780">
      <w:numFmt w:val="bullet"/>
      <w:lvlText w:val="•"/>
      <w:lvlJc w:val="left"/>
      <w:pPr>
        <w:ind w:left="5459" w:hanging="241"/>
      </w:pPr>
      <w:rPr>
        <w:rFonts w:hint="default"/>
        <w:lang w:val="pl-PL" w:eastAsia="en-US" w:bidi="ar-SA"/>
      </w:rPr>
    </w:lvl>
    <w:lvl w:ilvl="5" w:tplc="3390A1BE">
      <w:numFmt w:val="bullet"/>
      <w:lvlText w:val="•"/>
      <w:lvlJc w:val="left"/>
      <w:pPr>
        <w:ind w:left="6429" w:hanging="241"/>
      </w:pPr>
      <w:rPr>
        <w:rFonts w:hint="default"/>
        <w:lang w:val="pl-PL" w:eastAsia="en-US" w:bidi="ar-SA"/>
      </w:rPr>
    </w:lvl>
    <w:lvl w:ilvl="6" w:tplc="617EBCB4">
      <w:numFmt w:val="bullet"/>
      <w:lvlText w:val="•"/>
      <w:lvlJc w:val="left"/>
      <w:pPr>
        <w:ind w:left="7399" w:hanging="241"/>
      </w:pPr>
      <w:rPr>
        <w:rFonts w:hint="default"/>
        <w:lang w:val="pl-PL" w:eastAsia="en-US" w:bidi="ar-SA"/>
      </w:rPr>
    </w:lvl>
    <w:lvl w:ilvl="7" w:tplc="B54484A8">
      <w:numFmt w:val="bullet"/>
      <w:lvlText w:val="•"/>
      <w:lvlJc w:val="left"/>
      <w:pPr>
        <w:ind w:left="8369" w:hanging="241"/>
      </w:pPr>
      <w:rPr>
        <w:rFonts w:hint="default"/>
        <w:lang w:val="pl-PL" w:eastAsia="en-US" w:bidi="ar-SA"/>
      </w:rPr>
    </w:lvl>
    <w:lvl w:ilvl="8" w:tplc="B9FECCA8">
      <w:numFmt w:val="bullet"/>
      <w:lvlText w:val="•"/>
      <w:lvlJc w:val="left"/>
      <w:pPr>
        <w:ind w:left="9339" w:hanging="241"/>
      </w:pPr>
      <w:rPr>
        <w:rFonts w:hint="default"/>
        <w:lang w:val="pl-PL" w:eastAsia="en-US" w:bidi="ar-SA"/>
      </w:rPr>
    </w:lvl>
  </w:abstractNum>
  <w:abstractNum w:abstractNumId="38" w15:restartNumberingAfterBreak="0">
    <w:nsid w:val="72975311"/>
    <w:multiLevelType w:val="hybridMultilevel"/>
    <w:tmpl w:val="12362312"/>
    <w:lvl w:ilvl="0" w:tplc="D86E9C04">
      <w:start w:val="1"/>
      <w:numFmt w:val="decimal"/>
      <w:lvlText w:val="%1."/>
      <w:lvlJc w:val="left"/>
      <w:pPr>
        <w:ind w:left="1315" w:hanging="198"/>
      </w:pPr>
      <w:rPr>
        <w:rFonts w:ascii="Calibri" w:eastAsia="Calibri" w:hAnsi="Calibri" w:cs="Calibri" w:hint="default"/>
        <w:b w:val="0"/>
        <w:bCs w:val="0"/>
        <w:i w:val="0"/>
        <w:iCs w:val="0"/>
        <w:spacing w:val="0"/>
        <w:w w:val="99"/>
        <w:sz w:val="20"/>
        <w:szCs w:val="20"/>
        <w:lang w:val="pl-PL" w:eastAsia="en-US" w:bidi="ar-SA"/>
      </w:rPr>
    </w:lvl>
    <w:lvl w:ilvl="1" w:tplc="DE782F94">
      <w:numFmt w:val="bullet"/>
      <w:lvlText w:val="•"/>
      <w:lvlJc w:val="left"/>
      <w:pPr>
        <w:ind w:left="2315" w:hanging="198"/>
      </w:pPr>
      <w:rPr>
        <w:rFonts w:hint="default"/>
        <w:lang w:val="pl-PL" w:eastAsia="en-US" w:bidi="ar-SA"/>
      </w:rPr>
    </w:lvl>
    <w:lvl w:ilvl="2" w:tplc="B4F0E744">
      <w:numFmt w:val="bullet"/>
      <w:lvlText w:val="•"/>
      <w:lvlJc w:val="left"/>
      <w:pPr>
        <w:ind w:left="3311" w:hanging="198"/>
      </w:pPr>
      <w:rPr>
        <w:rFonts w:hint="default"/>
        <w:lang w:val="pl-PL" w:eastAsia="en-US" w:bidi="ar-SA"/>
      </w:rPr>
    </w:lvl>
    <w:lvl w:ilvl="3" w:tplc="A9B63BE2">
      <w:numFmt w:val="bullet"/>
      <w:lvlText w:val="•"/>
      <w:lvlJc w:val="left"/>
      <w:pPr>
        <w:ind w:left="4307" w:hanging="198"/>
      </w:pPr>
      <w:rPr>
        <w:rFonts w:hint="default"/>
        <w:lang w:val="pl-PL" w:eastAsia="en-US" w:bidi="ar-SA"/>
      </w:rPr>
    </w:lvl>
    <w:lvl w:ilvl="4" w:tplc="CA1AF7B0">
      <w:numFmt w:val="bullet"/>
      <w:lvlText w:val="•"/>
      <w:lvlJc w:val="left"/>
      <w:pPr>
        <w:ind w:left="5303" w:hanging="198"/>
      </w:pPr>
      <w:rPr>
        <w:rFonts w:hint="default"/>
        <w:lang w:val="pl-PL" w:eastAsia="en-US" w:bidi="ar-SA"/>
      </w:rPr>
    </w:lvl>
    <w:lvl w:ilvl="5" w:tplc="DDA0FEAA">
      <w:numFmt w:val="bullet"/>
      <w:lvlText w:val="•"/>
      <w:lvlJc w:val="left"/>
      <w:pPr>
        <w:ind w:left="6299" w:hanging="198"/>
      </w:pPr>
      <w:rPr>
        <w:rFonts w:hint="default"/>
        <w:lang w:val="pl-PL" w:eastAsia="en-US" w:bidi="ar-SA"/>
      </w:rPr>
    </w:lvl>
    <w:lvl w:ilvl="6" w:tplc="652A8774">
      <w:numFmt w:val="bullet"/>
      <w:lvlText w:val="•"/>
      <w:lvlJc w:val="left"/>
      <w:pPr>
        <w:ind w:left="7295" w:hanging="198"/>
      </w:pPr>
      <w:rPr>
        <w:rFonts w:hint="default"/>
        <w:lang w:val="pl-PL" w:eastAsia="en-US" w:bidi="ar-SA"/>
      </w:rPr>
    </w:lvl>
    <w:lvl w:ilvl="7" w:tplc="EBA0FDF6">
      <w:numFmt w:val="bullet"/>
      <w:lvlText w:val="•"/>
      <w:lvlJc w:val="left"/>
      <w:pPr>
        <w:ind w:left="8291" w:hanging="198"/>
      </w:pPr>
      <w:rPr>
        <w:rFonts w:hint="default"/>
        <w:lang w:val="pl-PL" w:eastAsia="en-US" w:bidi="ar-SA"/>
      </w:rPr>
    </w:lvl>
    <w:lvl w:ilvl="8" w:tplc="67E2B412">
      <w:numFmt w:val="bullet"/>
      <w:lvlText w:val="•"/>
      <w:lvlJc w:val="left"/>
      <w:pPr>
        <w:ind w:left="9287" w:hanging="198"/>
      </w:pPr>
      <w:rPr>
        <w:rFonts w:hint="default"/>
        <w:lang w:val="pl-PL" w:eastAsia="en-US" w:bidi="ar-SA"/>
      </w:rPr>
    </w:lvl>
  </w:abstractNum>
  <w:abstractNum w:abstractNumId="39" w15:restartNumberingAfterBreak="0">
    <w:nsid w:val="776069D2"/>
    <w:multiLevelType w:val="hybridMultilevel"/>
    <w:tmpl w:val="D72A114C"/>
    <w:lvl w:ilvl="0" w:tplc="E38852F4">
      <w:start w:val="1"/>
      <w:numFmt w:val="decimal"/>
      <w:lvlText w:val="%1."/>
      <w:lvlJc w:val="left"/>
      <w:pPr>
        <w:ind w:left="685" w:hanging="176"/>
      </w:pPr>
      <w:rPr>
        <w:rFonts w:ascii="Calibri" w:eastAsia="Calibri" w:hAnsi="Calibri" w:cs="Calibri" w:hint="default"/>
        <w:b w:val="0"/>
        <w:bCs w:val="0"/>
        <w:i w:val="0"/>
        <w:iCs w:val="0"/>
        <w:spacing w:val="-1"/>
        <w:w w:val="97"/>
        <w:sz w:val="18"/>
        <w:szCs w:val="18"/>
        <w:lang w:val="pl-PL" w:eastAsia="en-US" w:bidi="ar-SA"/>
      </w:rPr>
    </w:lvl>
    <w:lvl w:ilvl="1" w:tplc="AD9CEDE4">
      <w:numFmt w:val="bullet"/>
      <w:lvlText w:val="•"/>
      <w:lvlJc w:val="left"/>
      <w:pPr>
        <w:ind w:left="1739" w:hanging="176"/>
      </w:pPr>
      <w:rPr>
        <w:rFonts w:hint="default"/>
        <w:lang w:val="pl-PL" w:eastAsia="en-US" w:bidi="ar-SA"/>
      </w:rPr>
    </w:lvl>
    <w:lvl w:ilvl="2" w:tplc="D7C08116">
      <w:numFmt w:val="bullet"/>
      <w:lvlText w:val="•"/>
      <w:lvlJc w:val="left"/>
      <w:pPr>
        <w:ind w:left="2799" w:hanging="176"/>
      </w:pPr>
      <w:rPr>
        <w:rFonts w:hint="default"/>
        <w:lang w:val="pl-PL" w:eastAsia="en-US" w:bidi="ar-SA"/>
      </w:rPr>
    </w:lvl>
    <w:lvl w:ilvl="3" w:tplc="D1D2F74A">
      <w:numFmt w:val="bullet"/>
      <w:lvlText w:val="•"/>
      <w:lvlJc w:val="left"/>
      <w:pPr>
        <w:ind w:left="3859" w:hanging="176"/>
      </w:pPr>
      <w:rPr>
        <w:rFonts w:hint="default"/>
        <w:lang w:val="pl-PL" w:eastAsia="en-US" w:bidi="ar-SA"/>
      </w:rPr>
    </w:lvl>
    <w:lvl w:ilvl="4" w:tplc="58DC88A4">
      <w:numFmt w:val="bullet"/>
      <w:lvlText w:val="•"/>
      <w:lvlJc w:val="left"/>
      <w:pPr>
        <w:ind w:left="4919" w:hanging="176"/>
      </w:pPr>
      <w:rPr>
        <w:rFonts w:hint="default"/>
        <w:lang w:val="pl-PL" w:eastAsia="en-US" w:bidi="ar-SA"/>
      </w:rPr>
    </w:lvl>
    <w:lvl w:ilvl="5" w:tplc="9C6675D2">
      <w:numFmt w:val="bullet"/>
      <w:lvlText w:val="•"/>
      <w:lvlJc w:val="left"/>
      <w:pPr>
        <w:ind w:left="5979" w:hanging="176"/>
      </w:pPr>
      <w:rPr>
        <w:rFonts w:hint="default"/>
        <w:lang w:val="pl-PL" w:eastAsia="en-US" w:bidi="ar-SA"/>
      </w:rPr>
    </w:lvl>
    <w:lvl w:ilvl="6" w:tplc="52D8BCC6">
      <w:numFmt w:val="bullet"/>
      <w:lvlText w:val="•"/>
      <w:lvlJc w:val="left"/>
      <w:pPr>
        <w:ind w:left="7039" w:hanging="176"/>
      </w:pPr>
      <w:rPr>
        <w:rFonts w:hint="default"/>
        <w:lang w:val="pl-PL" w:eastAsia="en-US" w:bidi="ar-SA"/>
      </w:rPr>
    </w:lvl>
    <w:lvl w:ilvl="7" w:tplc="91E8E5DE">
      <w:numFmt w:val="bullet"/>
      <w:lvlText w:val="•"/>
      <w:lvlJc w:val="left"/>
      <w:pPr>
        <w:ind w:left="8099" w:hanging="176"/>
      </w:pPr>
      <w:rPr>
        <w:rFonts w:hint="default"/>
        <w:lang w:val="pl-PL" w:eastAsia="en-US" w:bidi="ar-SA"/>
      </w:rPr>
    </w:lvl>
    <w:lvl w:ilvl="8" w:tplc="086EAE92">
      <w:numFmt w:val="bullet"/>
      <w:lvlText w:val="•"/>
      <w:lvlJc w:val="left"/>
      <w:pPr>
        <w:ind w:left="9159" w:hanging="176"/>
      </w:pPr>
      <w:rPr>
        <w:rFonts w:hint="default"/>
        <w:lang w:val="pl-PL" w:eastAsia="en-US" w:bidi="ar-SA"/>
      </w:rPr>
    </w:lvl>
  </w:abstractNum>
  <w:abstractNum w:abstractNumId="40" w15:restartNumberingAfterBreak="0">
    <w:nsid w:val="78356909"/>
    <w:multiLevelType w:val="hybridMultilevel"/>
    <w:tmpl w:val="8E4A4F72"/>
    <w:lvl w:ilvl="0" w:tplc="39BA23E2">
      <w:numFmt w:val="bullet"/>
      <w:lvlText w:val="■"/>
      <w:lvlJc w:val="left"/>
      <w:pPr>
        <w:ind w:left="1230" w:hanging="361"/>
      </w:pPr>
      <w:rPr>
        <w:rFonts w:ascii="Arial" w:eastAsia="Arial" w:hAnsi="Arial" w:cs="Arial" w:hint="default"/>
        <w:b w:val="0"/>
        <w:bCs w:val="0"/>
        <w:i w:val="0"/>
        <w:iCs w:val="0"/>
        <w:color w:val="EC7D31"/>
        <w:spacing w:val="0"/>
        <w:w w:val="123"/>
        <w:sz w:val="18"/>
        <w:szCs w:val="18"/>
        <w:lang w:val="pl-PL" w:eastAsia="en-US" w:bidi="ar-SA"/>
      </w:rPr>
    </w:lvl>
    <w:lvl w:ilvl="1" w:tplc="E1400532">
      <w:numFmt w:val="bullet"/>
      <w:lvlText w:val="•"/>
      <w:lvlJc w:val="left"/>
      <w:pPr>
        <w:ind w:left="2243" w:hanging="361"/>
      </w:pPr>
      <w:rPr>
        <w:rFonts w:hint="default"/>
        <w:lang w:val="pl-PL" w:eastAsia="en-US" w:bidi="ar-SA"/>
      </w:rPr>
    </w:lvl>
    <w:lvl w:ilvl="2" w:tplc="C5C0D88E">
      <w:numFmt w:val="bullet"/>
      <w:lvlText w:val="•"/>
      <w:lvlJc w:val="left"/>
      <w:pPr>
        <w:ind w:left="3247" w:hanging="361"/>
      </w:pPr>
      <w:rPr>
        <w:rFonts w:hint="default"/>
        <w:lang w:val="pl-PL" w:eastAsia="en-US" w:bidi="ar-SA"/>
      </w:rPr>
    </w:lvl>
    <w:lvl w:ilvl="3" w:tplc="45D0C964">
      <w:numFmt w:val="bullet"/>
      <w:lvlText w:val="•"/>
      <w:lvlJc w:val="left"/>
      <w:pPr>
        <w:ind w:left="4251" w:hanging="361"/>
      </w:pPr>
      <w:rPr>
        <w:rFonts w:hint="default"/>
        <w:lang w:val="pl-PL" w:eastAsia="en-US" w:bidi="ar-SA"/>
      </w:rPr>
    </w:lvl>
    <w:lvl w:ilvl="4" w:tplc="BC0E032A">
      <w:numFmt w:val="bullet"/>
      <w:lvlText w:val="•"/>
      <w:lvlJc w:val="left"/>
      <w:pPr>
        <w:ind w:left="5255" w:hanging="361"/>
      </w:pPr>
      <w:rPr>
        <w:rFonts w:hint="default"/>
        <w:lang w:val="pl-PL" w:eastAsia="en-US" w:bidi="ar-SA"/>
      </w:rPr>
    </w:lvl>
    <w:lvl w:ilvl="5" w:tplc="B738809C">
      <w:numFmt w:val="bullet"/>
      <w:lvlText w:val="•"/>
      <w:lvlJc w:val="left"/>
      <w:pPr>
        <w:ind w:left="6259" w:hanging="361"/>
      </w:pPr>
      <w:rPr>
        <w:rFonts w:hint="default"/>
        <w:lang w:val="pl-PL" w:eastAsia="en-US" w:bidi="ar-SA"/>
      </w:rPr>
    </w:lvl>
    <w:lvl w:ilvl="6" w:tplc="5B7AE470">
      <w:numFmt w:val="bullet"/>
      <w:lvlText w:val="•"/>
      <w:lvlJc w:val="left"/>
      <w:pPr>
        <w:ind w:left="7263" w:hanging="361"/>
      </w:pPr>
      <w:rPr>
        <w:rFonts w:hint="default"/>
        <w:lang w:val="pl-PL" w:eastAsia="en-US" w:bidi="ar-SA"/>
      </w:rPr>
    </w:lvl>
    <w:lvl w:ilvl="7" w:tplc="32E039A0">
      <w:numFmt w:val="bullet"/>
      <w:lvlText w:val="•"/>
      <w:lvlJc w:val="left"/>
      <w:pPr>
        <w:ind w:left="8267" w:hanging="361"/>
      </w:pPr>
      <w:rPr>
        <w:rFonts w:hint="default"/>
        <w:lang w:val="pl-PL" w:eastAsia="en-US" w:bidi="ar-SA"/>
      </w:rPr>
    </w:lvl>
    <w:lvl w:ilvl="8" w:tplc="1CBE2B76">
      <w:numFmt w:val="bullet"/>
      <w:lvlText w:val="•"/>
      <w:lvlJc w:val="left"/>
      <w:pPr>
        <w:ind w:left="9271" w:hanging="361"/>
      </w:pPr>
      <w:rPr>
        <w:rFonts w:hint="default"/>
        <w:lang w:val="pl-PL" w:eastAsia="en-US" w:bidi="ar-SA"/>
      </w:rPr>
    </w:lvl>
  </w:abstractNum>
  <w:abstractNum w:abstractNumId="41" w15:restartNumberingAfterBreak="0">
    <w:nsid w:val="78D272D6"/>
    <w:multiLevelType w:val="hybridMultilevel"/>
    <w:tmpl w:val="B0043572"/>
    <w:lvl w:ilvl="0" w:tplc="C3B2FB22">
      <w:numFmt w:val="bullet"/>
      <w:lvlText w:val="-"/>
      <w:lvlJc w:val="left"/>
      <w:pPr>
        <w:ind w:left="1224" w:hanging="107"/>
      </w:pPr>
      <w:rPr>
        <w:rFonts w:ascii="Calibri" w:eastAsia="Calibri" w:hAnsi="Calibri" w:cs="Calibri" w:hint="default"/>
        <w:b w:val="0"/>
        <w:bCs w:val="0"/>
        <w:i w:val="0"/>
        <w:iCs w:val="0"/>
        <w:spacing w:val="0"/>
        <w:w w:val="99"/>
        <w:sz w:val="20"/>
        <w:szCs w:val="20"/>
        <w:lang w:val="pl-PL" w:eastAsia="en-US" w:bidi="ar-SA"/>
      </w:rPr>
    </w:lvl>
    <w:lvl w:ilvl="1" w:tplc="087E2C8C">
      <w:numFmt w:val="bullet"/>
      <w:lvlText w:val="•"/>
      <w:lvlJc w:val="left"/>
      <w:pPr>
        <w:ind w:left="2225" w:hanging="107"/>
      </w:pPr>
      <w:rPr>
        <w:rFonts w:hint="default"/>
        <w:lang w:val="pl-PL" w:eastAsia="en-US" w:bidi="ar-SA"/>
      </w:rPr>
    </w:lvl>
    <w:lvl w:ilvl="2" w:tplc="3BE8B8CE">
      <w:numFmt w:val="bullet"/>
      <w:lvlText w:val="•"/>
      <w:lvlJc w:val="left"/>
      <w:pPr>
        <w:ind w:left="3231" w:hanging="107"/>
      </w:pPr>
      <w:rPr>
        <w:rFonts w:hint="default"/>
        <w:lang w:val="pl-PL" w:eastAsia="en-US" w:bidi="ar-SA"/>
      </w:rPr>
    </w:lvl>
    <w:lvl w:ilvl="3" w:tplc="696011FE">
      <w:numFmt w:val="bullet"/>
      <w:lvlText w:val="•"/>
      <w:lvlJc w:val="left"/>
      <w:pPr>
        <w:ind w:left="4237" w:hanging="107"/>
      </w:pPr>
      <w:rPr>
        <w:rFonts w:hint="default"/>
        <w:lang w:val="pl-PL" w:eastAsia="en-US" w:bidi="ar-SA"/>
      </w:rPr>
    </w:lvl>
    <w:lvl w:ilvl="4" w:tplc="95789ED0">
      <w:numFmt w:val="bullet"/>
      <w:lvlText w:val="•"/>
      <w:lvlJc w:val="left"/>
      <w:pPr>
        <w:ind w:left="5243" w:hanging="107"/>
      </w:pPr>
      <w:rPr>
        <w:rFonts w:hint="default"/>
        <w:lang w:val="pl-PL" w:eastAsia="en-US" w:bidi="ar-SA"/>
      </w:rPr>
    </w:lvl>
    <w:lvl w:ilvl="5" w:tplc="03A884F0">
      <w:numFmt w:val="bullet"/>
      <w:lvlText w:val="•"/>
      <w:lvlJc w:val="left"/>
      <w:pPr>
        <w:ind w:left="6249" w:hanging="107"/>
      </w:pPr>
      <w:rPr>
        <w:rFonts w:hint="default"/>
        <w:lang w:val="pl-PL" w:eastAsia="en-US" w:bidi="ar-SA"/>
      </w:rPr>
    </w:lvl>
    <w:lvl w:ilvl="6" w:tplc="8710087C">
      <w:numFmt w:val="bullet"/>
      <w:lvlText w:val="•"/>
      <w:lvlJc w:val="left"/>
      <w:pPr>
        <w:ind w:left="7255" w:hanging="107"/>
      </w:pPr>
      <w:rPr>
        <w:rFonts w:hint="default"/>
        <w:lang w:val="pl-PL" w:eastAsia="en-US" w:bidi="ar-SA"/>
      </w:rPr>
    </w:lvl>
    <w:lvl w:ilvl="7" w:tplc="E08CDE84">
      <w:numFmt w:val="bullet"/>
      <w:lvlText w:val="•"/>
      <w:lvlJc w:val="left"/>
      <w:pPr>
        <w:ind w:left="8261" w:hanging="107"/>
      </w:pPr>
      <w:rPr>
        <w:rFonts w:hint="default"/>
        <w:lang w:val="pl-PL" w:eastAsia="en-US" w:bidi="ar-SA"/>
      </w:rPr>
    </w:lvl>
    <w:lvl w:ilvl="8" w:tplc="1F848E32">
      <w:numFmt w:val="bullet"/>
      <w:lvlText w:val="•"/>
      <w:lvlJc w:val="left"/>
      <w:pPr>
        <w:ind w:left="9267" w:hanging="107"/>
      </w:pPr>
      <w:rPr>
        <w:rFonts w:hint="default"/>
        <w:lang w:val="pl-PL" w:eastAsia="en-US" w:bidi="ar-SA"/>
      </w:rPr>
    </w:lvl>
  </w:abstractNum>
  <w:abstractNum w:abstractNumId="42" w15:restartNumberingAfterBreak="0">
    <w:nsid w:val="7FC87CBC"/>
    <w:multiLevelType w:val="hybridMultilevel"/>
    <w:tmpl w:val="2B1C5FC8"/>
    <w:lvl w:ilvl="0" w:tplc="D66202AC">
      <w:numFmt w:val="bullet"/>
      <w:lvlText w:val="■"/>
      <w:lvlJc w:val="left"/>
      <w:pPr>
        <w:ind w:left="1590" w:hanging="361"/>
      </w:pPr>
      <w:rPr>
        <w:rFonts w:ascii="Arial" w:eastAsia="Arial" w:hAnsi="Arial" w:cs="Arial" w:hint="default"/>
        <w:spacing w:val="0"/>
        <w:w w:val="123"/>
        <w:lang w:val="pl-PL" w:eastAsia="en-US" w:bidi="ar-SA"/>
      </w:rPr>
    </w:lvl>
    <w:lvl w:ilvl="1" w:tplc="FA80C74E">
      <w:numFmt w:val="bullet"/>
      <w:lvlText w:val="•"/>
      <w:lvlJc w:val="left"/>
      <w:pPr>
        <w:ind w:left="2567" w:hanging="361"/>
      </w:pPr>
      <w:rPr>
        <w:rFonts w:hint="default"/>
        <w:lang w:val="pl-PL" w:eastAsia="en-US" w:bidi="ar-SA"/>
      </w:rPr>
    </w:lvl>
    <w:lvl w:ilvl="2" w:tplc="6D4EA9B2">
      <w:numFmt w:val="bullet"/>
      <w:lvlText w:val="•"/>
      <w:lvlJc w:val="left"/>
      <w:pPr>
        <w:ind w:left="3535" w:hanging="361"/>
      </w:pPr>
      <w:rPr>
        <w:rFonts w:hint="default"/>
        <w:lang w:val="pl-PL" w:eastAsia="en-US" w:bidi="ar-SA"/>
      </w:rPr>
    </w:lvl>
    <w:lvl w:ilvl="3" w:tplc="B01A56E2">
      <w:numFmt w:val="bullet"/>
      <w:lvlText w:val="•"/>
      <w:lvlJc w:val="left"/>
      <w:pPr>
        <w:ind w:left="4503" w:hanging="361"/>
      </w:pPr>
      <w:rPr>
        <w:rFonts w:hint="default"/>
        <w:lang w:val="pl-PL" w:eastAsia="en-US" w:bidi="ar-SA"/>
      </w:rPr>
    </w:lvl>
    <w:lvl w:ilvl="4" w:tplc="9EF6EBA2">
      <w:numFmt w:val="bullet"/>
      <w:lvlText w:val="•"/>
      <w:lvlJc w:val="left"/>
      <w:pPr>
        <w:ind w:left="5471" w:hanging="361"/>
      </w:pPr>
      <w:rPr>
        <w:rFonts w:hint="default"/>
        <w:lang w:val="pl-PL" w:eastAsia="en-US" w:bidi="ar-SA"/>
      </w:rPr>
    </w:lvl>
    <w:lvl w:ilvl="5" w:tplc="59D0FE8A">
      <w:numFmt w:val="bullet"/>
      <w:lvlText w:val="•"/>
      <w:lvlJc w:val="left"/>
      <w:pPr>
        <w:ind w:left="6439" w:hanging="361"/>
      </w:pPr>
      <w:rPr>
        <w:rFonts w:hint="default"/>
        <w:lang w:val="pl-PL" w:eastAsia="en-US" w:bidi="ar-SA"/>
      </w:rPr>
    </w:lvl>
    <w:lvl w:ilvl="6" w:tplc="9A5E72AE">
      <w:numFmt w:val="bullet"/>
      <w:lvlText w:val="•"/>
      <w:lvlJc w:val="left"/>
      <w:pPr>
        <w:ind w:left="7407" w:hanging="361"/>
      </w:pPr>
      <w:rPr>
        <w:rFonts w:hint="default"/>
        <w:lang w:val="pl-PL" w:eastAsia="en-US" w:bidi="ar-SA"/>
      </w:rPr>
    </w:lvl>
    <w:lvl w:ilvl="7" w:tplc="E12838BE">
      <w:numFmt w:val="bullet"/>
      <w:lvlText w:val="•"/>
      <w:lvlJc w:val="left"/>
      <w:pPr>
        <w:ind w:left="8375" w:hanging="361"/>
      </w:pPr>
      <w:rPr>
        <w:rFonts w:hint="default"/>
        <w:lang w:val="pl-PL" w:eastAsia="en-US" w:bidi="ar-SA"/>
      </w:rPr>
    </w:lvl>
    <w:lvl w:ilvl="8" w:tplc="53A8E0FA">
      <w:numFmt w:val="bullet"/>
      <w:lvlText w:val="•"/>
      <w:lvlJc w:val="left"/>
      <w:pPr>
        <w:ind w:left="9343" w:hanging="361"/>
      </w:pPr>
      <w:rPr>
        <w:rFonts w:hint="default"/>
        <w:lang w:val="pl-PL" w:eastAsia="en-US" w:bidi="ar-SA"/>
      </w:rPr>
    </w:lvl>
  </w:abstractNum>
  <w:abstractNum w:abstractNumId="43" w15:restartNumberingAfterBreak="0">
    <w:nsid w:val="7FE55838"/>
    <w:multiLevelType w:val="hybridMultilevel"/>
    <w:tmpl w:val="2F761D72"/>
    <w:lvl w:ilvl="0" w:tplc="F9607266">
      <w:start w:val="1"/>
      <w:numFmt w:val="lowerRoman"/>
      <w:lvlText w:val="%1."/>
      <w:lvlJc w:val="left"/>
      <w:pPr>
        <w:ind w:left="361" w:hanging="141"/>
      </w:pPr>
      <w:rPr>
        <w:rFonts w:ascii="Calibri" w:eastAsia="Calibri" w:hAnsi="Calibri" w:cs="Calibri" w:hint="default"/>
        <w:b w:val="0"/>
        <w:bCs w:val="0"/>
        <w:i w:val="0"/>
        <w:iCs w:val="0"/>
        <w:spacing w:val="-1"/>
        <w:w w:val="99"/>
        <w:sz w:val="20"/>
        <w:szCs w:val="20"/>
        <w:lang w:val="pl-PL" w:eastAsia="en-US" w:bidi="ar-SA"/>
      </w:rPr>
    </w:lvl>
    <w:lvl w:ilvl="1" w:tplc="51524902">
      <w:numFmt w:val="bullet"/>
      <w:lvlText w:val="•"/>
      <w:lvlJc w:val="left"/>
      <w:pPr>
        <w:ind w:left="954" w:hanging="141"/>
      </w:pPr>
      <w:rPr>
        <w:rFonts w:hint="default"/>
        <w:lang w:val="pl-PL" w:eastAsia="en-US" w:bidi="ar-SA"/>
      </w:rPr>
    </w:lvl>
    <w:lvl w:ilvl="2" w:tplc="48A8B6C2">
      <w:numFmt w:val="bullet"/>
      <w:lvlText w:val="•"/>
      <w:lvlJc w:val="left"/>
      <w:pPr>
        <w:ind w:left="1549" w:hanging="141"/>
      </w:pPr>
      <w:rPr>
        <w:rFonts w:hint="default"/>
        <w:lang w:val="pl-PL" w:eastAsia="en-US" w:bidi="ar-SA"/>
      </w:rPr>
    </w:lvl>
    <w:lvl w:ilvl="3" w:tplc="B8D67A54">
      <w:numFmt w:val="bullet"/>
      <w:lvlText w:val="•"/>
      <w:lvlJc w:val="left"/>
      <w:pPr>
        <w:ind w:left="2144" w:hanging="141"/>
      </w:pPr>
      <w:rPr>
        <w:rFonts w:hint="default"/>
        <w:lang w:val="pl-PL" w:eastAsia="en-US" w:bidi="ar-SA"/>
      </w:rPr>
    </w:lvl>
    <w:lvl w:ilvl="4" w:tplc="70E6C9C0">
      <w:numFmt w:val="bullet"/>
      <w:lvlText w:val="•"/>
      <w:lvlJc w:val="left"/>
      <w:pPr>
        <w:ind w:left="2739" w:hanging="141"/>
      </w:pPr>
      <w:rPr>
        <w:rFonts w:hint="default"/>
        <w:lang w:val="pl-PL" w:eastAsia="en-US" w:bidi="ar-SA"/>
      </w:rPr>
    </w:lvl>
    <w:lvl w:ilvl="5" w:tplc="60A28064">
      <w:numFmt w:val="bullet"/>
      <w:lvlText w:val="•"/>
      <w:lvlJc w:val="left"/>
      <w:pPr>
        <w:ind w:left="3334" w:hanging="141"/>
      </w:pPr>
      <w:rPr>
        <w:rFonts w:hint="default"/>
        <w:lang w:val="pl-PL" w:eastAsia="en-US" w:bidi="ar-SA"/>
      </w:rPr>
    </w:lvl>
    <w:lvl w:ilvl="6" w:tplc="07D248E6">
      <w:numFmt w:val="bullet"/>
      <w:lvlText w:val="•"/>
      <w:lvlJc w:val="left"/>
      <w:pPr>
        <w:ind w:left="3928" w:hanging="141"/>
      </w:pPr>
      <w:rPr>
        <w:rFonts w:hint="default"/>
        <w:lang w:val="pl-PL" w:eastAsia="en-US" w:bidi="ar-SA"/>
      </w:rPr>
    </w:lvl>
    <w:lvl w:ilvl="7" w:tplc="1990FAFE">
      <w:numFmt w:val="bullet"/>
      <w:lvlText w:val="•"/>
      <w:lvlJc w:val="left"/>
      <w:pPr>
        <w:ind w:left="4523" w:hanging="141"/>
      </w:pPr>
      <w:rPr>
        <w:rFonts w:hint="default"/>
        <w:lang w:val="pl-PL" w:eastAsia="en-US" w:bidi="ar-SA"/>
      </w:rPr>
    </w:lvl>
    <w:lvl w:ilvl="8" w:tplc="6FEAE736">
      <w:numFmt w:val="bullet"/>
      <w:lvlText w:val="•"/>
      <w:lvlJc w:val="left"/>
      <w:pPr>
        <w:ind w:left="5118" w:hanging="141"/>
      </w:pPr>
      <w:rPr>
        <w:rFonts w:hint="default"/>
        <w:lang w:val="pl-PL" w:eastAsia="en-US" w:bidi="ar-SA"/>
      </w:rPr>
    </w:lvl>
  </w:abstractNum>
  <w:num w:numId="1" w16cid:durableId="1080709658">
    <w:abstractNumId w:val="26"/>
  </w:num>
  <w:num w:numId="2" w16cid:durableId="1912229236">
    <w:abstractNumId w:val="31"/>
  </w:num>
  <w:num w:numId="3" w16cid:durableId="648679011">
    <w:abstractNumId w:val="14"/>
  </w:num>
  <w:num w:numId="4" w16cid:durableId="1665014514">
    <w:abstractNumId w:val="30"/>
  </w:num>
  <w:num w:numId="5" w16cid:durableId="2045011395">
    <w:abstractNumId w:val="29"/>
  </w:num>
  <w:num w:numId="6" w16cid:durableId="1803036020">
    <w:abstractNumId w:val="36"/>
  </w:num>
  <w:num w:numId="7" w16cid:durableId="25107866">
    <w:abstractNumId w:val="25"/>
  </w:num>
  <w:num w:numId="8" w16cid:durableId="559561064">
    <w:abstractNumId w:val="41"/>
  </w:num>
  <w:num w:numId="9" w16cid:durableId="476412396">
    <w:abstractNumId w:val="12"/>
  </w:num>
  <w:num w:numId="10" w16cid:durableId="609510024">
    <w:abstractNumId w:val="33"/>
  </w:num>
  <w:num w:numId="11" w16cid:durableId="1599366595">
    <w:abstractNumId w:val="38"/>
  </w:num>
  <w:num w:numId="12" w16cid:durableId="1752458605">
    <w:abstractNumId w:val="13"/>
  </w:num>
  <w:num w:numId="13" w16cid:durableId="87123614">
    <w:abstractNumId w:val="34"/>
  </w:num>
  <w:num w:numId="14" w16cid:durableId="1849523217">
    <w:abstractNumId w:val="27"/>
  </w:num>
  <w:num w:numId="15" w16cid:durableId="2089304840">
    <w:abstractNumId w:val="43"/>
  </w:num>
  <w:num w:numId="16" w16cid:durableId="1072433992">
    <w:abstractNumId w:val="1"/>
  </w:num>
  <w:num w:numId="17" w16cid:durableId="676155486">
    <w:abstractNumId w:val="16"/>
  </w:num>
  <w:num w:numId="18" w16cid:durableId="90513459">
    <w:abstractNumId w:val="15"/>
  </w:num>
  <w:num w:numId="19" w16cid:durableId="1352105907">
    <w:abstractNumId w:val="22"/>
  </w:num>
  <w:num w:numId="20" w16cid:durableId="1034504281">
    <w:abstractNumId w:val="42"/>
  </w:num>
  <w:num w:numId="21" w16cid:durableId="382094431">
    <w:abstractNumId w:val="20"/>
  </w:num>
  <w:num w:numId="22" w16cid:durableId="1309482226">
    <w:abstractNumId w:val="24"/>
  </w:num>
  <w:num w:numId="23" w16cid:durableId="124811767">
    <w:abstractNumId w:val="28"/>
  </w:num>
  <w:num w:numId="24" w16cid:durableId="984548431">
    <w:abstractNumId w:val="18"/>
  </w:num>
  <w:num w:numId="25" w16cid:durableId="2012832404">
    <w:abstractNumId w:val="19"/>
  </w:num>
  <w:num w:numId="26" w16cid:durableId="171720956">
    <w:abstractNumId w:val="2"/>
  </w:num>
  <w:num w:numId="27" w16cid:durableId="51193283">
    <w:abstractNumId w:val="11"/>
  </w:num>
  <w:num w:numId="28" w16cid:durableId="1861354621">
    <w:abstractNumId w:val="7"/>
  </w:num>
  <w:num w:numId="29" w16cid:durableId="1595475249">
    <w:abstractNumId w:val="35"/>
  </w:num>
  <w:num w:numId="30" w16cid:durableId="701325809">
    <w:abstractNumId w:val="21"/>
  </w:num>
  <w:num w:numId="31" w16cid:durableId="2120446453">
    <w:abstractNumId w:val="9"/>
  </w:num>
  <w:num w:numId="32" w16cid:durableId="2094234168">
    <w:abstractNumId w:val="17"/>
  </w:num>
  <w:num w:numId="33" w16cid:durableId="1885487630">
    <w:abstractNumId w:val="3"/>
  </w:num>
  <w:num w:numId="34" w16cid:durableId="2058818529">
    <w:abstractNumId w:val="40"/>
  </w:num>
  <w:num w:numId="35" w16cid:durableId="302153082">
    <w:abstractNumId w:val="5"/>
  </w:num>
  <w:num w:numId="36" w16cid:durableId="1263413037">
    <w:abstractNumId w:val="0"/>
  </w:num>
  <w:num w:numId="37" w16cid:durableId="29033459">
    <w:abstractNumId w:val="10"/>
  </w:num>
  <w:num w:numId="38" w16cid:durableId="574164002">
    <w:abstractNumId w:val="37"/>
  </w:num>
  <w:num w:numId="39" w16cid:durableId="655838558">
    <w:abstractNumId w:val="4"/>
  </w:num>
  <w:num w:numId="40" w16cid:durableId="1644969639">
    <w:abstractNumId w:val="39"/>
  </w:num>
  <w:num w:numId="41" w16cid:durableId="214393952">
    <w:abstractNumId w:val="6"/>
  </w:num>
  <w:num w:numId="42" w16cid:durableId="260988300">
    <w:abstractNumId w:val="8"/>
  </w:num>
  <w:num w:numId="43" w16cid:durableId="648288489">
    <w:abstractNumId w:val="23"/>
  </w:num>
  <w:num w:numId="44" w16cid:durableId="177420304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1198C"/>
    <w:rsid w:val="000934DB"/>
    <w:rsid w:val="000C255A"/>
    <w:rsid w:val="000E7247"/>
    <w:rsid w:val="00122FB9"/>
    <w:rsid w:val="0017468A"/>
    <w:rsid w:val="001A5717"/>
    <w:rsid w:val="002D1CC3"/>
    <w:rsid w:val="002F16E7"/>
    <w:rsid w:val="0044096D"/>
    <w:rsid w:val="00461E7D"/>
    <w:rsid w:val="004D4864"/>
    <w:rsid w:val="005A41A2"/>
    <w:rsid w:val="005A736F"/>
    <w:rsid w:val="005E2D22"/>
    <w:rsid w:val="00650FD4"/>
    <w:rsid w:val="00684392"/>
    <w:rsid w:val="006849F8"/>
    <w:rsid w:val="006B6555"/>
    <w:rsid w:val="00720E33"/>
    <w:rsid w:val="007659B4"/>
    <w:rsid w:val="008D6830"/>
    <w:rsid w:val="008E7DA7"/>
    <w:rsid w:val="009903A1"/>
    <w:rsid w:val="00AF7771"/>
    <w:rsid w:val="00B044EF"/>
    <w:rsid w:val="00B10579"/>
    <w:rsid w:val="00B93C6D"/>
    <w:rsid w:val="00C241D1"/>
    <w:rsid w:val="00E1198C"/>
    <w:rsid w:val="00EC3550"/>
    <w:rsid w:val="00F44716"/>
    <w:rsid w:val="00FF1C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9441DB"/>
  <w15:docId w15:val="{7599C393-7503-4A2C-B1F1-7C047F69E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libri" w:eastAsia="Calibri" w:hAnsi="Calibri" w:cs="Calibri"/>
    </w:rPr>
  </w:style>
  <w:style w:type="paragraph" w:styleId="Nagwek1">
    <w:name w:val="heading 1"/>
    <w:basedOn w:val="Normalny"/>
    <w:uiPriority w:val="9"/>
    <w:qFormat/>
    <w:pPr>
      <w:ind w:left="1821"/>
      <w:outlineLvl w:val="0"/>
    </w:pPr>
    <w:rPr>
      <w:b/>
      <w:bCs/>
      <w:sz w:val="28"/>
      <w:szCs w:val="28"/>
    </w:rPr>
  </w:style>
  <w:style w:type="paragraph" w:styleId="Nagwek2">
    <w:name w:val="heading 2"/>
    <w:basedOn w:val="Normalny"/>
    <w:uiPriority w:val="9"/>
    <w:unhideWhenUsed/>
    <w:qFormat/>
    <w:pPr>
      <w:ind w:left="1117"/>
      <w:outlineLvl w:val="1"/>
    </w:pPr>
    <w:rPr>
      <w:b/>
      <w:bCs/>
      <w:sz w:val="24"/>
      <w:szCs w:val="24"/>
    </w:rPr>
  </w:style>
  <w:style w:type="paragraph" w:styleId="Nagwek3">
    <w:name w:val="heading 3"/>
    <w:basedOn w:val="Normalny"/>
    <w:uiPriority w:val="9"/>
    <w:unhideWhenUsed/>
    <w:qFormat/>
    <w:pPr>
      <w:ind w:left="1117"/>
      <w:outlineLvl w:val="2"/>
    </w:pPr>
    <w:rPr>
      <w:b/>
      <w:bCs/>
      <w:sz w:val="20"/>
      <w:szCs w:val="20"/>
    </w:rPr>
  </w:style>
  <w:style w:type="paragraph" w:styleId="Nagwek4">
    <w:name w:val="heading 4"/>
    <w:basedOn w:val="Normalny"/>
    <w:uiPriority w:val="9"/>
    <w:unhideWhenUsed/>
    <w:qFormat/>
    <w:pPr>
      <w:outlineLvl w:val="3"/>
    </w:pPr>
    <w:rPr>
      <w:i/>
      <w:iCs/>
      <w:sz w:val="20"/>
      <w:szCs w:val="20"/>
    </w:rPr>
  </w:style>
  <w:style w:type="paragraph" w:styleId="Nagwek5">
    <w:name w:val="heading 5"/>
    <w:basedOn w:val="Normalny"/>
    <w:uiPriority w:val="9"/>
    <w:unhideWhenUsed/>
    <w:qFormat/>
    <w:pPr>
      <w:ind w:left="511"/>
      <w:outlineLvl w:val="4"/>
    </w:pPr>
    <w:rPr>
      <w:i/>
      <w:iCs/>
      <w:sz w:val="19"/>
      <w:szCs w:val="19"/>
    </w:rPr>
  </w:style>
  <w:style w:type="paragraph" w:styleId="Nagwek6">
    <w:name w:val="heading 6"/>
    <w:basedOn w:val="Normalny"/>
    <w:uiPriority w:val="9"/>
    <w:unhideWhenUsed/>
    <w:qFormat/>
    <w:pPr>
      <w:ind w:left="1117"/>
      <w:outlineLvl w:val="5"/>
    </w:pPr>
    <w:rPr>
      <w:b/>
      <w:bCs/>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1"/>
    <w:qFormat/>
    <w:pPr>
      <w:spacing w:before="37"/>
      <w:ind w:left="1513" w:hanging="396"/>
    </w:pPr>
    <w:rPr>
      <w:b/>
      <w:bCs/>
      <w:sz w:val="20"/>
      <w:szCs w:val="20"/>
    </w:rPr>
  </w:style>
  <w:style w:type="paragraph" w:styleId="Spistreci2">
    <w:name w:val="toc 2"/>
    <w:basedOn w:val="Normalny"/>
    <w:uiPriority w:val="1"/>
    <w:qFormat/>
    <w:pPr>
      <w:spacing w:before="37"/>
      <w:ind w:left="1117"/>
    </w:pPr>
    <w:rPr>
      <w:sz w:val="20"/>
      <w:szCs w:val="20"/>
    </w:rPr>
  </w:style>
  <w:style w:type="paragraph" w:styleId="Tekstpodstawowy">
    <w:name w:val="Body Text"/>
    <w:basedOn w:val="Normalny"/>
    <w:uiPriority w:val="1"/>
    <w:qFormat/>
    <w:rPr>
      <w:sz w:val="18"/>
      <w:szCs w:val="18"/>
    </w:rPr>
  </w:style>
  <w:style w:type="paragraph" w:styleId="Akapitzlist">
    <w:name w:val="List Paragraph"/>
    <w:basedOn w:val="Normalny"/>
    <w:uiPriority w:val="1"/>
    <w:qFormat/>
    <w:pPr>
      <w:ind w:left="1230" w:hanging="105"/>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0934DB"/>
    <w:pPr>
      <w:tabs>
        <w:tab w:val="center" w:pos="4536"/>
        <w:tab w:val="right" w:pos="9072"/>
      </w:tabs>
    </w:pPr>
  </w:style>
  <w:style w:type="character" w:customStyle="1" w:styleId="NagwekZnak">
    <w:name w:val="Nagłówek Znak"/>
    <w:basedOn w:val="Domylnaczcionkaakapitu"/>
    <w:link w:val="Nagwek"/>
    <w:uiPriority w:val="99"/>
    <w:rsid w:val="000934DB"/>
    <w:rPr>
      <w:rFonts w:ascii="Calibri" w:eastAsia="Calibri" w:hAnsi="Calibri" w:cs="Calibri"/>
      <w:lang w:val="en-US"/>
    </w:rPr>
  </w:style>
  <w:style w:type="paragraph" w:styleId="Stopka">
    <w:name w:val="footer"/>
    <w:basedOn w:val="Normalny"/>
    <w:link w:val="StopkaZnak"/>
    <w:uiPriority w:val="99"/>
    <w:unhideWhenUsed/>
    <w:rsid w:val="000934DB"/>
    <w:pPr>
      <w:tabs>
        <w:tab w:val="center" w:pos="4536"/>
        <w:tab w:val="right" w:pos="9072"/>
      </w:tabs>
    </w:pPr>
  </w:style>
  <w:style w:type="character" w:customStyle="1" w:styleId="StopkaZnak">
    <w:name w:val="Stopka Znak"/>
    <w:basedOn w:val="Domylnaczcionkaakapitu"/>
    <w:link w:val="Stopka"/>
    <w:uiPriority w:val="99"/>
    <w:rsid w:val="000934DB"/>
    <w:rPr>
      <w:rFonts w:ascii="Calibri" w:eastAsia="Calibri" w:hAnsi="Calibri" w:cs="Calibri"/>
      <w:lang w:val="en-US"/>
    </w:rPr>
  </w:style>
  <w:style w:type="table" w:styleId="Tabela-Siatka">
    <w:name w:val="Table Grid"/>
    <w:basedOn w:val="Standardowy"/>
    <w:uiPriority w:val="39"/>
    <w:rsid w:val="00765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650FD4"/>
    <w:rPr>
      <w:sz w:val="16"/>
      <w:szCs w:val="16"/>
    </w:rPr>
  </w:style>
  <w:style w:type="paragraph" w:styleId="Tekstkomentarza">
    <w:name w:val="annotation text"/>
    <w:basedOn w:val="Normalny"/>
    <w:link w:val="TekstkomentarzaZnak"/>
    <w:uiPriority w:val="99"/>
    <w:unhideWhenUsed/>
    <w:rsid w:val="00650FD4"/>
    <w:rPr>
      <w:sz w:val="20"/>
      <w:szCs w:val="20"/>
    </w:rPr>
  </w:style>
  <w:style w:type="character" w:customStyle="1" w:styleId="TekstkomentarzaZnak">
    <w:name w:val="Tekst komentarza Znak"/>
    <w:basedOn w:val="Domylnaczcionkaakapitu"/>
    <w:link w:val="Tekstkomentarza"/>
    <w:uiPriority w:val="99"/>
    <w:rsid w:val="00650FD4"/>
    <w:rPr>
      <w:rFonts w:ascii="Calibri" w:eastAsia="Calibri" w:hAnsi="Calibri" w:cs="Calibri"/>
      <w:sz w:val="20"/>
      <w:szCs w:val="20"/>
    </w:rPr>
  </w:style>
  <w:style w:type="paragraph" w:styleId="Tematkomentarza">
    <w:name w:val="annotation subject"/>
    <w:basedOn w:val="Tekstkomentarza"/>
    <w:next w:val="Tekstkomentarza"/>
    <w:link w:val="TematkomentarzaZnak"/>
    <w:uiPriority w:val="99"/>
    <w:semiHidden/>
    <w:unhideWhenUsed/>
    <w:rsid w:val="00650FD4"/>
    <w:rPr>
      <w:b/>
      <w:bCs/>
    </w:rPr>
  </w:style>
  <w:style w:type="character" w:customStyle="1" w:styleId="TematkomentarzaZnak">
    <w:name w:val="Temat komentarza Znak"/>
    <w:basedOn w:val="TekstkomentarzaZnak"/>
    <w:link w:val="Tematkomentarza"/>
    <w:uiPriority w:val="99"/>
    <w:semiHidden/>
    <w:rsid w:val="00650FD4"/>
    <w:rPr>
      <w:rFonts w:ascii="Calibri" w:eastAsia="Calibri"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settings" Target="settings.xml"/><Relationship Id="rId21" Type="http://schemas.openxmlformats.org/officeDocument/2006/relationships/image" Target="media/image11.png"/><Relationship Id="rId7" Type="http://schemas.openxmlformats.org/officeDocument/2006/relationships/image" Target="media/image1.jpeg"/><Relationship Id="rId12" Type="http://schemas.openxmlformats.org/officeDocument/2006/relationships/image" Target="media/image3.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image" Target="media/image14.png"/><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www.gpw.pl/dobre-" TargetMode="External"/><Relationship Id="rId22" Type="http://schemas.openxmlformats.org/officeDocument/2006/relationships/image" Target="media/image12.png"/><Relationship Id="rId2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49</Pages>
  <Words>36086</Words>
  <Characters>196675</Characters>
  <Application>Microsoft Office Word</Application>
  <DocSecurity>0</DocSecurity>
  <Lines>2694</Lines>
  <Paragraphs>1265</Paragraphs>
  <ScaleCrop>false</ScaleCrop>
  <HeadingPairs>
    <vt:vector size="2" baseType="variant">
      <vt:variant>
        <vt:lpstr>Tytuł</vt:lpstr>
      </vt:variant>
      <vt:variant>
        <vt:i4>1</vt:i4>
      </vt:variant>
    </vt:vector>
  </HeadingPairs>
  <TitlesOfParts>
    <vt:vector size="1" baseType="lpstr">
      <vt:lpstr>SprawZDzZ2024-2025-04-30-0-pl.xhtml</vt:lpstr>
    </vt:vector>
  </TitlesOfParts>
  <Company/>
  <LinksUpToDate>false</LinksUpToDate>
  <CharactersWithSpaces>231496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SprawZDzZ2024-2025-04-30-0-pl.xhtml</dc:title>
  <cp:lastModifiedBy>Anna Adamska</cp:lastModifiedBy>
  <cp:revision>13</cp:revision>
  <dcterms:created xsi:type="dcterms:W3CDTF">2025-10-09T08:04:00Z</dcterms:created>
  <dcterms:modified xsi:type="dcterms:W3CDTF">2025-10-27T14:13:00Z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2025-10-07T00:00:00Z</vt:filetime>
  </property>
  <property fmtid="{D5CDD505-2E9C-101B-9397-08002B2CF9AE}" pid="3" name="Creator">
    <vt:lpwstr>Mozilla/5.0 (Windows NT 10.0; Win64; x64) AppleWebKit/537.36 (KHTML, like Gecko) Chrome/140.0.0.0 Safari/537.36 Edg/140.0.0.0</vt:lpwstr>
  </property>
  <property fmtid="{D5CDD505-2E9C-101B-9397-08002B2CF9AE}" pid="4" name="LastSaved">
    <vt:filetime>2025-10-09T00:00:00Z</vt:filetime>
  </property>
  <property fmtid="{D5CDD505-2E9C-101B-9397-08002B2CF9AE}" pid="5" name="Producer">
    <vt:lpwstr>Skia/PDF m140</vt:lpwstr>
  </property>
</Properties>
</file>